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34" w:rsidRDefault="00905234" w:rsidP="00435C1B">
      <w:pPr>
        <w:spacing w:after="120" w:line="520" w:lineRule="exact"/>
        <w:rPr>
          <w:b/>
          <w:color w:val="384A7C"/>
          <w:sz w:val="40"/>
          <w:szCs w:val="52"/>
        </w:rPr>
      </w:pPr>
    </w:p>
    <w:p w:rsidR="00905234" w:rsidRDefault="00905234" w:rsidP="00B16587">
      <w:pPr>
        <w:spacing w:after="120" w:line="360" w:lineRule="exact"/>
        <w:contextualSpacing/>
        <w:rPr>
          <w:b/>
          <w:color w:val="384A7C"/>
          <w:sz w:val="40"/>
          <w:szCs w:val="52"/>
        </w:rPr>
      </w:pPr>
    </w:p>
    <w:p w:rsidR="000D3741" w:rsidRPr="002C6CED" w:rsidRDefault="007D11B0" w:rsidP="00435C1B">
      <w:pPr>
        <w:spacing w:after="120" w:line="520" w:lineRule="exact"/>
        <w:rPr>
          <w:b/>
          <w:color w:val="384A7C"/>
          <w:sz w:val="40"/>
          <w:szCs w:val="52"/>
        </w:rPr>
      </w:pPr>
      <w:r w:rsidRPr="002C6CED">
        <w:rPr>
          <w:b/>
          <w:color w:val="384A7C"/>
          <w:sz w:val="40"/>
          <w:szCs w:val="52"/>
        </w:rPr>
        <w:t>OJJDP</w:t>
      </w:r>
      <w:r w:rsidR="006E46B0" w:rsidRPr="002C6CED">
        <w:rPr>
          <w:b/>
          <w:color w:val="384A7C"/>
          <w:sz w:val="40"/>
          <w:szCs w:val="52"/>
        </w:rPr>
        <w:t xml:space="preserve">’s </w:t>
      </w:r>
      <w:r w:rsidR="00ED754B">
        <w:rPr>
          <w:b/>
          <w:color w:val="384A7C"/>
          <w:sz w:val="40"/>
          <w:szCs w:val="52"/>
        </w:rPr>
        <w:t xml:space="preserve">Three </w:t>
      </w:r>
      <w:r w:rsidRPr="002C6CED">
        <w:rPr>
          <w:b/>
          <w:color w:val="384A7C"/>
          <w:sz w:val="40"/>
          <w:szCs w:val="52"/>
        </w:rPr>
        <w:t>Youth Violence Prevention</w:t>
      </w:r>
      <w:r w:rsidR="006E46B0" w:rsidRPr="002C6CED">
        <w:rPr>
          <w:b/>
          <w:color w:val="384A7C"/>
          <w:sz w:val="40"/>
          <w:szCs w:val="52"/>
        </w:rPr>
        <w:t xml:space="preserve"> Initiatives</w:t>
      </w:r>
      <w:r w:rsidRPr="002C6CED">
        <w:rPr>
          <w:b/>
          <w:color w:val="384A7C"/>
          <w:sz w:val="40"/>
          <w:szCs w:val="52"/>
        </w:rPr>
        <w:t xml:space="preserve"> </w:t>
      </w:r>
    </w:p>
    <w:p w:rsidR="000D3741" w:rsidRPr="00F906FD" w:rsidRDefault="0092467D" w:rsidP="00DE37F9">
      <w:pPr>
        <w:spacing w:after="240" w:line="240" w:lineRule="auto"/>
        <w:rPr>
          <w:color w:val="384A7C"/>
          <w:sz w:val="28"/>
          <w:szCs w:val="28"/>
        </w:rPr>
      </w:pPr>
      <w:r w:rsidRPr="00F906FD">
        <w:rPr>
          <w:noProof/>
          <w:color w:val="384A7C"/>
          <w:sz w:val="28"/>
          <w:szCs w:val="28"/>
        </w:rPr>
        <w:drawing>
          <wp:anchor distT="0" distB="0" distL="114300" distR="182880" simplePos="0" relativeHeight="251667456" behindDoc="0" locked="0" layoutInCell="1" allowOverlap="1" wp14:anchorId="4D20E614" wp14:editId="02275FEA">
            <wp:simplePos x="0" y="0"/>
            <wp:positionH relativeFrom="margin">
              <wp:posOffset>-38652</wp:posOffset>
            </wp:positionH>
            <wp:positionV relativeFrom="paragraph">
              <wp:posOffset>1990725</wp:posOffset>
            </wp:positionV>
            <wp:extent cx="1828800" cy="1530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FYVP logo square.jpg"/>
                    <pic:cNvPicPr/>
                  </pic:nvPicPr>
                  <pic:blipFill>
                    <a:blip r:embed="rId9">
                      <a:extLst>
                        <a:ext uri="{28A0092B-C50C-407E-A947-70E740481C1C}">
                          <a14:useLocalDpi xmlns:a14="http://schemas.microsoft.com/office/drawing/2010/main" val="0"/>
                        </a:ext>
                      </a:extLst>
                    </a:blip>
                    <a:stretch>
                      <a:fillRect/>
                    </a:stretch>
                  </pic:blipFill>
                  <pic:spPr>
                    <a:xfrm>
                      <a:off x="0" y="0"/>
                      <a:ext cx="1828800" cy="1530985"/>
                    </a:xfrm>
                    <a:prstGeom prst="rect">
                      <a:avLst/>
                    </a:prstGeom>
                  </pic:spPr>
                </pic:pic>
              </a:graphicData>
            </a:graphic>
            <wp14:sizeRelH relativeFrom="margin">
              <wp14:pctWidth>0</wp14:pctWidth>
            </wp14:sizeRelH>
            <wp14:sizeRelV relativeFrom="margin">
              <wp14:pctHeight>0</wp14:pctHeight>
            </wp14:sizeRelV>
          </wp:anchor>
        </w:drawing>
      </w:r>
      <w:r w:rsidR="00934BEE" w:rsidRPr="00EC5C09">
        <w:rPr>
          <w:sz w:val="20"/>
          <w:szCs w:val="20"/>
        </w:rPr>
        <w:t xml:space="preserve">The Office of Juvenile Justice and Delinquency Prevention (OJJDP) </w:t>
      </w:r>
      <w:proofErr w:type="gramStart"/>
      <w:r w:rsidR="00934BEE" w:rsidRPr="00EC5C09">
        <w:rPr>
          <w:sz w:val="20"/>
          <w:szCs w:val="20"/>
        </w:rPr>
        <w:t>has</w:t>
      </w:r>
      <w:proofErr w:type="gramEnd"/>
      <w:r w:rsidR="00934BEE" w:rsidRPr="00EC5C09">
        <w:rPr>
          <w:sz w:val="20"/>
          <w:szCs w:val="20"/>
        </w:rPr>
        <w:t xml:space="preserve"> funded three key initiatives and</w:t>
      </w:r>
      <w:r w:rsidR="00934BEE">
        <w:rPr>
          <w:sz w:val="20"/>
          <w:szCs w:val="20"/>
        </w:rPr>
        <w:t>—</w:t>
      </w:r>
      <w:r w:rsidR="00934BEE" w:rsidRPr="00EC5C09">
        <w:rPr>
          <w:sz w:val="20"/>
          <w:szCs w:val="20"/>
        </w:rPr>
        <w:t>with the Centers for Disease Control and Prevention (CDC)</w:t>
      </w:r>
      <w:r w:rsidR="00934BEE">
        <w:rPr>
          <w:sz w:val="20"/>
          <w:szCs w:val="20"/>
        </w:rPr>
        <w:t xml:space="preserve"> — </w:t>
      </w:r>
      <w:r w:rsidR="00934BEE" w:rsidRPr="00EC5C09">
        <w:rPr>
          <w:sz w:val="20"/>
          <w:szCs w:val="20"/>
        </w:rPr>
        <w:t xml:space="preserve">constructed a framework for action to help communities reduce and prevent youth violence.  Each initiative was launched in 2010 to address various facets of violence and to mitigate the consequences of trauma to children and youth through evidence-based and promising programs, practices, and strategies. Collectively, OJJDP’s initiatives provide a comprehensive, balanced road map to promote the </w:t>
      </w:r>
      <w:r w:rsidR="00934BEE">
        <w:rPr>
          <w:sz w:val="20"/>
          <w:szCs w:val="20"/>
        </w:rPr>
        <w:t xml:space="preserve">healthy development and </w:t>
      </w:r>
      <w:r w:rsidR="00934BEE" w:rsidRPr="00EC5C09">
        <w:rPr>
          <w:sz w:val="20"/>
          <w:szCs w:val="20"/>
        </w:rPr>
        <w:t>well-being of children and youth through the elimination of violence and victimization</w:t>
      </w:r>
      <w:r w:rsidR="00862BA3" w:rsidRPr="00EC5C09">
        <w:rPr>
          <w:sz w:val="20"/>
          <w:szCs w:val="20"/>
        </w:rPr>
        <w:t>.</w:t>
      </w:r>
      <w:r w:rsidR="00AB4B4D" w:rsidRPr="00EC5C09">
        <w:rPr>
          <w:sz w:val="20"/>
          <w:szCs w:val="20"/>
        </w:rPr>
        <w:t xml:space="preserve"> </w:t>
      </w:r>
    </w:p>
    <w:p w:rsidR="00934BEE" w:rsidRPr="00EC5C09" w:rsidRDefault="00934BEE" w:rsidP="00934BEE">
      <w:pPr>
        <w:spacing w:after="0" w:line="240" w:lineRule="auto"/>
        <w:rPr>
          <w:spacing w:val="-2"/>
          <w:sz w:val="20"/>
          <w:szCs w:val="20"/>
        </w:rPr>
      </w:pPr>
      <w:r w:rsidRPr="00F906FD">
        <w:rPr>
          <w:b/>
          <w:color w:val="384A7C"/>
          <w:spacing w:val="-2"/>
        </w:rPr>
        <w:t>The National Forum on Youth Violence Prevention (Forum)</w:t>
      </w:r>
      <w:r w:rsidRPr="00F906FD">
        <w:rPr>
          <w:color w:val="384A7C"/>
          <w:spacing w:val="-2"/>
        </w:rPr>
        <w:t xml:space="preserve"> </w:t>
      </w:r>
      <w:r w:rsidRPr="00EC5C09">
        <w:rPr>
          <w:spacing w:val="-2"/>
          <w:sz w:val="20"/>
          <w:szCs w:val="20"/>
        </w:rPr>
        <w:t>represents a network of 15 communities and federal agencies that work together, share information, and build local capacity. Communities use prevention, intervention, enforcement, and reentry strategies to stop violence and sustain their accomplishments. The Forum is supported by a Federal Coordinating Team that includes the U.S. Departments of Justice, Education, Housing, Labor, and Health and Human Services and the CDC, among others, to align efforts and resources.</w:t>
      </w:r>
    </w:p>
    <w:p w:rsidR="00762114" w:rsidRDefault="00762114" w:rsidP="00212BAC">
      <w:pPr>
        <w:pStyle w:val="ListParagraph"/>
        <w:spacing w:after="0" w:line="240" w:lineRule="auto"/>
        <w:ind w:left="360"/>
      </w:pPr>
    </w:p>
    <w:p w:rsidR="00762114" w:rsidRDefault="00300F4F" w:rsidP="00A76D1F">
      <w:pPr>
        <w:spacing w:after="0" w:line="240" w:lineRule="auto"/>
        <w:rPr>
          <w:sz w:val="20"/>
          <w:szCs w:val="20"/>
        </w:rPr>
      </w:pPr>
      <w:r w:rsidRPr="00F906FD">
        <w:rPr>
          <w:b/>
          <w:color w:val="384A7C"/>
        </w:rPr>
        <w:t>The Community-Based Violence Prevention Program (CBVP</w:t>
      </w:r>
      <w:r w:rsidRPr="00212BAC">
        <w:rPr>
          <w:b/>
          <w:color w:val="0F243E" w:themeColor="text2" w:themeShade="80"/>
        </w:rPr>
        <w:t xml:space="preserve">) </w:t>
      </w:r>
      <w:r w:rsidRPr="00EC5C09">
        <w:rPr>
          <w:sz w:val="20"/>
          <w:szCs w:val="20"/>
        </w:rPr>
        <w:t>concentrates on stopping youth gang and gun violence in 16 cities through evidenced-based deterrence and public health approaches. CBVP is characterized by partnerships among law enforcement, service providers, residents, and community- and faith-based organizations.</w:t>
      </w:r>
    </w:p>
    <w:p w:rsidR="00300F4F" w:rsidRDefault="00300F4F" w:rsidP="00A76D1F">
      <w:pPr>
        <w:spacing w:after="0" w:line="240" w:lineRule="auto"/>
      </w:pPr>
    </w:p>
    <w:p w:rsidR="008B6A27" w:rsidRDefault="0092467D" w:rsidP="00B8591C">
      <w:pPr>
        <w:spacing w:after="240" w:line="240" w:lineRule="auto"/>
        <w:rPr>
          <w:spacing w:val="-2"/>
          <w:sz w:val="20"/>
          <w:szCs w:val="20"/>
        </w:rPr>
      </w:pPr>
      <w:r w:rsidRPr="00943416">
        <w:rPr>
          <w:noProof/>
          <w:color w:val="384A7C"/>
          <w:sz w:val="52"/>
          <w:szCs w:val="52"/>
        </w:rPr>
        <w:drawing>
          <wp:anchor distT="0" distB="0" distL="114300" distR="182880" simplePos="0" relativeHeight="251666432" behindDoc="0" locked="0" layoutInCell="1" allowOverlap="1" wp14:anchorId="79675FB5" wp14:editId="09532F20">
            <wp:simplePos x="0" y="0"/>
            <wp:positionH relativeFrom="margin">
              <wp:align>left</wp:align>
            </wp:positionH>
            <wp:positionV relativeFrom="paragraph">
              <wp:posOffset>8890</wp:posOffset>
            </wp:positionV>
            <wp:extent cx="1748790" cy="676910"/>
            <wp:effectExtent l="0" t="0" r="3810" b="8890"/>
            <wp:wrapSquare wrapText="bothSides"/>
            <wp:docPr id="1" name="Picture 1" descr="DOJ_Defending_Childhood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_Defending_Childhood_logo_CMYK"/>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48790" cy="676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3EC9" w:rsidRPr="00F906FD">
        <w:rPr>
          <w:b/>
          <w:color w:val="384A7C"/>
          <w:spacing w:val="-2"/>
        </w:rPr>
        <w:t xml:space="preserve">The </w:t>
      </w:r>
      <w:r w:rsidR="00252C12" w:rsidRPr="00F906FD">
        <w:rPr>
          <w:b/>
          <w:color w:val="384A7C"/>
          <w:spacing w:val="-2"/>
        </w:rPr>
        <w:t xml:space="preserve">Defending Childhood </w:t>
      </w:r>
      <w:r w:rsidR="00110D9C" w:rsidRPr="00F906FD">
        <w:rPr>
          <w:b/>
          <w:color w:val="384A7C"/>
          <w:spacing w:val="-2"/>
        </w:rPr>
        <w:t>I</w:t>
      </w:r>
      <w:r w:rsidR="00252C12" w:rsidRPr="00F906FD">
        <w:rPr>
          <w:b/>
          <w:color w:val="384A7C"/>
          <w:spacing w:val="-2"/>
        </w:rPr>
        <w:t>nitiative</w:t>
      </w:r>
      <w:r w:rsidR="00252C12" w:rsidRPr="00F906FD">
        <w:rPr>
          <w:color w:val="384A7C"/>
          <w:spacing w:val="-2"/>
        </w:rPr>
        <w:t xml:space="preserve"> </w:t>
      </w:r>
      <w:r w:rsidR="00944B60" w:rsidRPr="00B44A34">
        <w:rPr>
          <w:spacing w:val="-2"/>
          <w:sz w:val="20"/>
          <w:szCs w:val="20"/>
        </w:rPr>
        <w:t>seeks</w:t>
      </w:r>
      <w:r w:rsidR="00B2320F" w:rsidRPr="00B44A34">
        <w:rPr>
          <w:spacing w:val="-2"/>
          <w:sz w:val="20"/>
          <w:szCs w:val="20"/>
        </w:rPr>
        <w:t xml:space="preserve"> </w:t>
      </w:r>
      <w:r w:rsidR="006A7A62" w:rsidRPr="00B44A34">
        <w:rPr>
          <w:spacing w:val="-2"/>
          <w:sz w:val="20"/>
          <w:szCs w:val="20"/>
        </w:rPr>
        <w:t xml:space="preserve">to </w:t>
      </w:r>
      <w:r w:rsidR="00F911C5" w:rsidRPr="00B44A34">
        <w:rPr>
          <w:spacing w:val="-2"/>
          <w:sz w:val="20"/>
          <w:szCs w:val="20"/>
        </w:rPr>
        <w:t>p</w:t>
      </w:r>
      <w:r w:rsidR="006A7A62" w:rsidRPr="00B44A34">
        <w:rPr>
          <w:spacing w:val="-2"/>
          <w:sz w:val="20"/>
          <w:szCs w:val="20"/>
        </w:rPr>
        <w:t>revent</w:t>
      </w:r>
      <w:r w:rsidR="008B0553" w:rsidRPr="00B44A34">
        <w:rPr>
          <w:spacing w:val="-2"/>
          <w:sz w:val="20"/>
          <w:szCs w:val="20"/>
        </w:rPr>
        <w:t xml:space="preserve"> </w:t>
      </w:r>
      <w:r w:rsidR="00B04B5D" w:rsidRPr="00B44A34">
        <w:rPr>
          <w:spacing w:val="-2"/>
          <w:sz w:val="20"/>
          <w:szCs w:val="20"/>
        </w:rPr>
        <w:t xml:space="preserve">and more fully understand </w:t>
      </w:r>
      <w:r w:rsidR="00A32EEB" w:rsidRPr="00B44A34">
        <w:rPr>
          <w:spacing w:val="-2"/>
          <w:sz w:val="20"/>
          <w:szCs w:val="20"/>
        </w:rPr>
        <w:t xml:space="preserve">the impact </w:t>
      </w:r>
      <w:r w:rsidR="00862BA3" w:rsidRPr="00B44A34">
        <w:rPr>
          <w:spacing w:val="-2"/>
          <w:sz w:val="20"/>
          <w:szCs w:val="20"/>
        </w:rPr>
        <w:t xml:space="preserve">of </w:t>
      </w:r>
      <w:r w:rsidR="00A32EEB" w:rsidRPr="00B44A34">
        <w:rPr>
          <w:spacing w:val="-2"/>
          <w:sz w:val="20"/>
          <w:szCs w:val="20"/>
        </w:rPr>
        <w:t xml:space="preserve">trauma </w:t>
      </w:r>
      <w:r w:rsidR="00BD02A9" w:rsidRPr="00B44A34">
        <w:rPr>
          <w:spacing w:val="-2"/>
          <w:sz w:val="20"/>
          <w:szCs w:val="20"/>
        </w:rPr>
        <w:t xml:space="preserve">resulting </w:t>
      </w:r>
      <w:r w:rsidR="00944B60" w:rsidRPr="00B44A34">
        <w:rPr>
          <w:spacing w:val="-2"/>
          <w:sz w:val="20"/>
          <w:szCs w:val="20"/>
        </w:rPr>
        <w:t>from</w:t>
      </w:r>
      <w:r w:rsidR="00A32EEB" w:rsidRPr="00B44A34">
        <w:rPr>
          <w:spacing w:val="-2"/>
          <w:sz w:val="20"/>
          <w:szCs w:val="20"/>
        </w:rPr>
        <w:t xml:space="preserve"> </w:t>
      </w:r>
      <w:r w:rsidR="00B04B5D" w:rsidRPr="00B44A34">
        <w:rPr>
          <w:spacing w:val="-2"/>
          <w:sz w:val="20"/>
          <w:szCs w:val="20"/>
        </w:rPr>
        <w:t>child</w:t>
      </w:r>
      <w:r w:rsidR="00A32EEB" w:rsidRPr="00B44A34">
        <w:rPr>
          <w:spacing w:val="-2"/>
          <w:sz w:val="20"/>
          <w:szCs w:val="20"/>
        </w:rPr>
        <w:t xml:space="preserve">ren’s </w:t>
      </w:r>
      <w:r w:rsidR="00B04B5D" w:rsidRPr="00B44A34">
        <w:rPr>
          <w:spacing w:val="-2"/>
          <w:sz w:val="20"/>
          <w:szCs w:val="20"/>
        </w:rPr>
        <w:t>exposure to violenc</w:t>
      </w:r>
      <w:r w:rsidR="008B0553" w:rsidRPr="00B44A34">
        <w:rPr>
          <w:spacing w:val="-2"/>
          <w:sz w:val="20"/>
          <w:szCs w:val="20"/>
        </w:rPr>
        <w:t>e (CEV). CEV is associated with long-term physical, mental</w:t>
      </w:r>
      <w:r w:rsidR="004525E5" w:rsidRPr="00B44A34">
        <w:rPr>
          <w:spacing w:val="-2"/>
          <w:sz w:val="20"/>
          <w:szCs w:val="20"/>
        </w:rPr>
        <w:t>,</w:t>
      </w:r>
      <w:r w:rsidR="008B0553" w:rsidRPr="00B44A34">
        <w:rPr>
          <w:spacing w:val="-2"/>
          <w:sz w:val="20"/>
          <w:szCs w:val="20"/>
        </w:rPr>
        <w:t xml:space="preserve"> and emotion</w:t>
      </w:r>
      <w:r w:rsidR="00BD02A9" w:rsidRPr="00B44A34">
        <w:rPr>
          <w:spacing w:val="-2"/>
          <w:sz w:val="20"/>
          <w:szCs w:val="20"/>
        </w:rPr>
        <w:t>al</w:t>
      </w:r>
      <w:r w:rsidR="008B0553" w:rsidRPr="00B44A34">
        <w:rPr>
          <w:spacing w:val="-2"/>
          <w:sz w:val="20"/>
          <w:szCs w:val="20"/>
        </w:rPr>
        <w:t xml:space="preserve"> harm </w:t>
      </w:r>
      <w:r w:rsidR="000F58AC" w:rsidRPr="00B44A34">
        <w:rPr>
          <w:spacing w:val="-2"/>
          <w:sz w:val="20"/>
          <w:szCs w:val="20"/>
        </w:rPr>
        <w:t xml:space="preserve">and puts </w:t>
      </w:r>
      <w:r w:rsidR="00862BA3" w:rsidRPr="00B44A34">
        <w:rPr>
          <w:spacing w:val="-2"/>
          <w:sz w:val="20"/>
          <w:szCs w:val="20"/>
        </w:rPr>
        <w:t xml:space="preserve">children and </w:t>
      </w:r>
      <w:r w:rsidR="000F58AC" w:rsidRPr="00B44A34">
        <w:rPr>
          <w:spacing w:val="-2"/>
          <w:sz w:val="20"/>
          <w:szCs w:val="20"/>
        </w:rPr>
        <w:t xml:space="preserve">youth at </w:t>
      </w:r>
      <w:r w:rsidR="00862BA3" w:rsidRPr="00B44A34">
        <w:rPr>
          <w:spacing w:val="-2"/>
          <w:sz w:val="20"/>
          <w:szCs w:val="20"/>
        </w:rPr>
        <w:t xml:space="preserve">greater </w:t>
      </w:r>
      <w:r w:rsidR="000F58AC" w:rsidRPr="00B44A34">
        <w:rPr>
          <w:spacing w:val="-2"/>
          <w:sz w:val="20"/>
          <w:szCs w:val="20"/>
        </w:rPr>
        <w:t xml:space="preserve">risk of </w:t>
      </w:r>
      <w:r w:rsidR="00BD02A9" w:rsidRPr="00B44A34">
        <w:rPr>
          <w:spacing w:val="-2"/>
          <w:sz w:val="20"/>
          <w:szCs w:val="20"/>
        </w:rPr>
        <w:t>failing in school and</w:t>
      </w:r>
      <w:r w:rsidR="00862BA3" w:rsidRPr="00B44A34">
        <w:rPr>
          <w:spacing w:val="-2"/>
          <w:sz w:val="20"/>
          <w:szCs w:val="20"/>
        </w:rPr>
        <w:t xml:space="preserve"> employment; future victimization; and </w:t>
      </w:r>
      <w:r w:rsidR="00BD02A9" w:rsidRPr="00B44A34">
        <w:rPr>
          <w:spacing w:val="-2"/>
          <w:sz w:val="20"/>
          <w:szCs w:val="20"/>
        </w:rPr>
        <w:t xml:space="preserve">future </w:t>
      </w:r>
    </w:p>
    <w:tbl>
      <w:tblPr>
        <w:tblStyle w:val="TableGrid"/>
        <w:tblpPr w:leftFromText="180" w:rightFromText="180" w:vertAnchor="text" w:horzAnchor="margin" w:tblpXSpec="right" w:tblpY="931"/>
        <w:tblW w:w="5000" w:type="pct"/>
        <w:tblLook w:val="04A0" w:firstRow="1" w:lastRow="0" w:firstColumn="1" w:lastColumn="0" w:noHBand="0" w:noVBand="1"/>
      </w:tblPr>
      <w:tblGrid>
        <w:gridCol w:w="1889"/>
        <w:gridCol w:w="1705"/>
        <w:gridCol w:w="1662"/>
      </w:tblGrid>
      <w:tr w:rsidR="008B6A27" w:rsidRPr="001A47EE" w:rsidTr="00D350A6">
        <w:trPr>
          <w:trHeight w:hRule="exact" w:val="1377"/>
        </w:trPr>
        <w:tc>
          <w:tcPr>
            <w:tcW w:w="1797" w:type="pct"/>
            <w:tcBorders>
              <w:right w:val="outset" w:sz="6" w:space="0" w:color="FFFFFF" w:themeColor="background1"/>
            </w:tcBorders>
            <w:shd w:val="clear" w:color="auto" w:fill="384A7C"/>
            <w:vAlign w:val="center"/>
          </w:tcPr>
          <w:p w:rsidR="008B6A27" w:rsidRPr="00212BAC" w:rsidRDefault="008B6A27" w:rsidP="003D0BB0">
            <w:pPr>
              <w:jc w:val="center"/>
              <w:rPr>
                <w:b/>
                <w:color w:val="FFFFFF" w:themeColor="background1"/>
                <w:sz w:val="20"/>
                <w:szCs w:val="20"/>
              </w:rPr>
            </w:pPr>
            <w:r w:rsidRPr="00212BAC">
              <w:rPr>
                <w:b/>
                <w:color w:val="FFFFFF" w:themeColor="background1"/>
                <w:sz w:val="20"/>
                <w:szCs w:val="20"/>
              </w:rPr>
              <w:t>National Forum on Youth Violence Prevention</w:t>
            </w:r>
          </w:p>
        </w:tc>
        <w:tc>
          <w:tcPr>
            <w:tcW w:w="1622" w:type="pct"/>
            <w:tcBorders>
              <w:left w:val="outset" w:sz="6" w:space="0" w:color="FFFFFF" w:themeColor="background1"/>
              <w:right w:val="outset" w:sz="6" w:space="0" w:color="FFFFFF" w:themeColor="background1"/>
            </w:tcBorders>
            <w:shd w:val="clear" w:color="auto" w:fill="384A7C"/>
            <w:vAlign w:val="center"/>
          </w:tcPr>
          <w:p w:rsidR="008B6A27" w:rsidRPr="00212BAC" w:rsidRDefault="008B6A27" w:rsidP="003D0BB0">
            <w:pPr>
              <w:jc w:val="center"/>
              <w:rPr>
                <w:b/>
                <w:color w:val="FFFFFF" w:themeColor="background1"/>
                <w:sz w:val="20"/>
                <w:szCs w:val="20"/>
              </w:rPr>
            </w:pPr>
            <w:r w:rsidRPr="00212BAC">
              <w:rPr>
                <w:b/>
                <w:color w:val="FFFFFF" w:themeColor="background1"/>
                <w:sz w:val="20"/>
                <w:szCs w:val="20"/>
              </w:rPr>
              <w:t>Community-Based Violence Prevention Program</w:t>
            </w:r>
          </w:p>
        </w:tc>
        <w:tc>
          <w:tcPr>
            <w:tcW w:w="1581" w:type="pct"/>
            <w:tcBorders>
              <w:left w:val="outset" w:sz="6" w:space="0" w:color="FFFFFF" w:themeColor="background1"/>
            </w:tcBorders>
            <w:shd w:val="clear" w:color="auto" w:fill="384A7C"/>
            <w:vAlign w:val="center"/>
          </w:tcPr>
          <w:p w:rsidR="008B6A27" w:rsidRPr="00212BAC" w:rsidRDefault="008B6A27" w:rsidP="003D0BB0">
            <w:pPr>
              <w:jc w:val="center"/>
              <w:rPr>
                <w:b/>
                <w:color w:val="FFFFFF" w:themeColor="background1"/>
                <w:sz w:val="20"/>
                <w:szCs w:val="20"/>
              </w:rPr>
            </w:pPr>
            <w:r w:rsidRPr="00212BAC">
              <w:rPr>
                <w:b/>
                <w:color w:val="FFFFFF" w:themeColor="background1"/>
                <w:sz w:val="20"/>
                <w:szCs w:val="20"/>
              </w:rPr>
              <w:t>Defending Childhood Initiative</w:t>
            </w:r>
          </w:p>
        </w:tc>
      </w:tr>
      <w:tr w:rsidR="008B6A27" w:rsidRPr="001A47EE" w:rsidTr="00890672">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 xml:space="preserve">Baltimore, </w:t>
            </w:r>
            <w:r>
              <w:rPr>
                <w:sz w:val="20"/>
                <w:szCs w:val="20"/>
              </w:rPr>
              <w:t>MD</w:t>
            </w:r>
            <w:r w:rsidRPr="001A47EE" w:rsidDel="006046B7">
              <w:rPr>
                <w:sz w:val="20"/>
                <w:szCs w:val="20"/>
              </w:rPr>
              <w:t xml:space="preserve"> </w:t>
            </w:r>
          </w:p>
        </w:tc>
        <w:tc>
          <w:tcPr>
            <w:tcW w:w="1622" w:type="pct"/>
            <w:vAlign w:val="center"/>
          </w:tcPr>
          <w:p w:rsidR="008B6A27" w:rsidRPr="001A47EE" w:rsidRDefault="008B6A27" w:rsidP="008B6A27">
            <w:pPr>
              <w:spacing w:line="200" w:lineRule="exact"/>
              <w:rPr>
                <w:sz w:val="20"/>
                <w:szCs w:val="20"/>
              </w:rPr>
            </w:pPr>
            <w:r>
              <w:rPr>
                <w:sz w:val="20"/>
                <w:szCs w:val="20"/>
              </w:rPr>
              <w:t>Baltimore, MD</w:t>
            </w:r>
            <w:r w:rsidDel="006046B7">
              <w:rPr>
                <w:sz w:val="20"/>
                <w:szCs w:val="20"/>
              </w:rPr>
              <w:t xml:space="preserve"> </w:t>
            </w:r>
          </w:p>
        </w:tc>
        <w:tc>
          <w:tcPr>
            <w:tcW w:w="1581" w:type="pct"/>
            <w:vAlign w:val="center"/>
          </w:tcPr>
          <w:p w:rsidR="008B6A27" w:rsidRPr="001A47EE" w:rsidRDefault="008B6A27" w:rsidP="008B6A27">
            <w:pPr>
              <w:spacing w:line="200" w:lineRule="exact"/>
              <w:rPr>
                <w:sz w:val="20"/>
                <w:szCs w:val="20"/>
              </w:rPr>
            </w:pPr>
            <w:r w:rsidRPr="001A47EE">
              <w:rPr>
                <w:sz w:val="20"/>
                <w:szCs w:val="20"/>
              </w:rPr>
              <w:t>Boston</w:t>
            </w:r>
            <w:r>
              <w:rPr>
                <w:sz w:val="20"/>
                <w:szCs w:val="20"/>
              </w:rPr>
              <w:t>, MA</w:t>
            </w: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 xml:space="preserve">Boston, </w:t>
            </w:r>
            <w:r>
              <w:rPr>
                <w:sz w:val="20"/>
                <w:szCs w:val="20"/>
              </w:rPr>
              <w:t>MA</w:t>
            </w:r>
          </w:p>
        </w:tc>
        <w:tc>
          <w:tcPr>
            <w:tcW w:w="1622" w:type="pct"/>
            <w:vAlign w:val="center"/>
          </w:tcPr>
          <w:p w:rsidR="008B6A27" w:rsidRPr="001A47EE" w:rsidRDefault="008B6A27" w:rsidP="008B6A27">
            <w:pPr>
              <w:spacing w:line="200" w:lineRule="exact"/>
              <w:rPr>
                <w:sz w:val="20"/>
                <w:szCs w:val="20"/>
              </w:rPr>
            </w:pPr>
            <w:r>
              <w:rPr>
                <w:sz w:val="20"/>
                <w:szCs w:val="20"/>
              </w:rPr>
              <w:t>Baton Rouge, LA</w:t>
            </w:r>
          </w:p>
        </w:tc>
        <w:tc>
          <w:tcPr>
            <w:tcW w:w="1581" w:type="pct"/>
            <w:vAlign w:val="center"/>
          </w:tcPr>
          <w:p w:rsidR="008B6A27" w:rsidRPr="001A47EE" w:rsidRDefault="00A4366B" w:rsidP="008B6A27">
            <w:pPr>
              <w:spacing w:line="200" w:lineRule="exact"/>
              <w:rPr>
                <w:sz w:val="20"/>
                <w:szCs w:val="20"/>
              </w:rPr>
            </w:pPr>
            <w:r>
              <w:rPr>
                <w:sz w:val="20"/>
                <w:szCs w:val="20"/>
              </w:rPr>
              <w:t>Chippewa Cree</w:t>
            </w:r>
            <w:r w:rsidR="008B6A27" w:rsidRPr="001A47EE">
              <w:rPr>
                <w:sz w:val="20"/>
                <w:szCs w:val="20"/>
              </w:rPr>
              <w:t xml:space="preserve"> Tribe, </w:t>
            </w:r>
            <w:r w:rsidR="008B6A27">
              <w:rPr>
                <w:sz w:val="20"/>
                <w:szCs w:val="20"/>
              </w:rPr>
              <w:t>MT</w:t>
            </w: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 xml:space="preserve">Camden, </w:t>
            </w:r>
            <w:r>
              <w:rPr>
                <w:sz w:val="20"/>
                <w:szCs w:val="20"/>
              </w:rPr>
              <w:t>NJ</w:t>
            </w:r>
            <w:r w:rsidRPr="001A47EE" w:rsidDel="006046B7">
              <w:rPr>
                <w:sz w:val="20"/>
                <w:szCs w:val="20"/>
              </w:rPr>
              <w:t xml:space="preserve"> </w:t>
            </w:r>
          </w:p>
        </w:tc>
        <w:tc>
          <w:tcPr>
            <w:tcW w:w="1622" w:type="pct"/>
            <w:vAlign w:val="center"/>
          </w:tcPr>
          <w:p w:rsidR="008B6A27" w:rsidRPr="001A47EE" w:rsidRDefault="008B6A27" w:rsidP="008B6A27">
            <w:pPr>
              <w:spacing w:line="200" w:lineRule="exact"/>
              <w:rPr>
                <w:sz w:val="20"/>
                <w:szCs w:val="20"/>
              </w:rPr>
            </w:pPr>
            <w:r>
              <w:rPr>
                <w:sz w:val="20"/>
                <w:szCs w:val="20"/>
              </w:rPr>
              <w:t>Boston, MA</w:t>
            </w:r>
            <w:r w:rsidDel="006046B7">
              <w:rPr>
                <w:sz w:val="20"/>
                <w:szCs w:val="20"/>
              </w:rPr>
              <w:t xml:space="preserve"> </w:t>
            </w:r>
          </w:p>
        </w:tc>
        <w:tc>
          <w:tcPr>
            <w:tcW w:w="1581" w:type="pct"/>
            <w:vAlign w:val="center"/>
          </w:tcPr>
          <w:p w:rsidR="008B6A27" w:rsidRPr="001A47EE" w:rsidRDefault="008B6A27" w:rsidP="008B6A27">
            <w:pPr>
              <w:spacing w:line="200" w:lineRule="exact"/>
              <w:rPr>
                <w:sz w:val="20"/>
                <w:szCs w:val="20"/>
              </w:rPr>
            </w:pPr>
            <w:r>
              <w:rPr>
                <w:rFonts w:cs="Georgia"/>
                <w:color w:val="12171B"/>
                <w:sz w:val="20"/>
                <w:szCs w:val="20"/>
              </w:rPr>
              <w:t>Cuyahoga County, OH</w:t>
            </w:r>
          </w:p>
        </w:tc>
      </w:tr>
      <w:tr w:rsidR="008B6A27" w:rsidRPr="001A47EE" w:rsidTr="00026B4D">
        <w:trPr>
          <w:trHeight w:hRule="exact" w:val="582"/>
        </w:trPr>
        <w:tc>
          <w:tcPr>
            <w:tcW w:w="1797" w:type="pct"/>
            <w:vAlign w:val="center"/>
          </w:tcPr>
          <w:p w:rsidR="008B6A27" w:rsidRPr="001A47EE" w:rsidRDefault="008B6A27" w:rsidP="008B6A27">
            <w:pPr>
              <w:tabs>
                <w:tab w:val="left" w:pos="1398"/>
              </w:tabs>
              <w:spacing w:line="200" w:lineRule="exact"/>
              <w:rPr>
                <w:sz w:val="20"/>
                <w:szCs w:val="20"/>
              </w:rPr>
            </w:pPr>
            <w:r w:rsidRPr="001A47EE">
              <w:rPr>
                <w:sz w:val="20"/>
                <w:szCs w:val="20"/>
              </w:rPr>
              <w:t>Chicago</w:t>
            </w:r>
            <w:r>
              <w:rPr>
                <w:sz w:val="20"/>
                <w:szCs w:val="20"/>
              </w:rPr>
              <w:t>, IL</w:t>
            </w:r>
            <w:r w:rsidRPr="001A47EE" w:rsidDel="006046B7">
              <w:rPr>
                <w:sz w:val="20"/>
                <w:szCs w:val="20"/>
              </w:rPr>
              <w:t xml:space="preserve"> </w:t>
            </w:r>
            <w:r>
              <w:rPr>
                <w:sz w:val="20"/>
                <w:szCs w:val="20"/>
              </w:rPr>
              <w:tab/>
            </w:r>
          </w:p>
        </w:tc>
        <w:tc>
          <w:tcPr>
            <w:tcW w:w="1622" w:type="pct"/>
            <w:vAlign w:val="center"/>
          </w:tcPr>
          <w:p w:rsidR="008B6A27" w:rsidRPr="001A47EE" w:rsidRDefault="008B6A27" w:rsidP="008B6A27">
            <w:pPr>
              <w:spacing w:line="200" w:lineRule="exact"/>
              <w:rPr>
                <w:sz w:val="20"/>
                <w:szCs w:val="20"/>
              </w:rPr>
            </w:pPr>
            <w:r>
              <w:rPr>
                <w:sz w:val="20"/>
                <w:szCs w:val="20"/>
              </w:rPr>
              <w:t xml:space="preserve">Brooklyn, NY </w:t>
            </w:r>
          </w:p>
        </w:tc>
        <w:tc>
          <w:tcPr>
            <w:tcW w:w="1581" w:type="pct"/>
            <w:vAlign w:val="center"/>
          </w:tcPr>
          <w:p w:rsidR="008B6A27" w:rsidRPr="001A47EE" w:rsidRDefault="008B6A27" w:rsidP="008B6A27">
            <w:pPr>
              <w:spacing w:line="200" w:lineRule="exact"/>
              <w:rPr>
                <w:sz w:val="20"/>
                <w:szCs w:val="20"/>
              </w:rPr>
            </w:pPr>
            <w:r w:rsidRPr="001A47EE">
              <w:rPr>
                <w:sz w:val="20"/>
                <w:szCs w:val="20"/>
              </w:rPr>
              <w:t xml:space="preserve">Grand Forks, </w:t>
            </w:r>
            <w:r>
              <w:rPr>
                <w:sz w:val="20"/>
                <w:szCs w:val="20"/>
              </w:rPr>
              <w:t>ND</w:t>
            </w: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Cleveland</w:t>
            </w:r>
            <w:r>
              <w:rPr>
                <w:sz w:val="20"/>
                <w:szCs w:val="20"/>
              </w:rPr>
              <w:t>, OH</w:t>
            </w:r>
          </w:p>
        </w:tc>
        <w:tc>
          <w:tcPr>
            <w:tcW w:w="1622" w:type="pct"/>
            <w:vAlign w:val="center"/>
          </w:tcPr>
          <w:p w:rsidR="008B6A27" w:rsidRPr="001A47EE" w:rsidRDefault="008B6A27" w:rsidP="008B6A27">
            <w:pPr>
              <w:spacing w:line="200" w:lineRule="exact"/>
              <w:rPr>
                <w:sz w:val="20"/>
                <w:szCs w:val="20"/>
              </w:rPr>
            </w:pPr>
            <w:r>
              <w:rPr>
                <w:sz w:val="20"/>
                <w:szCs w:val="20"/>
              </w:rPr>
              <w:t>Camden, NJ</w:t>
            </w:r>
            <w:r w:rsidDel="006046B7">
              <w:rPr>
                <w:sz w:val="20"/>
                <w:szCs w:val="20"/>
              </w:rPr>
              <w:t xml:space="preserve"> </w:t>
            </w:r>
          </w:p>
        </w:tc>
        <w:tc>
          <w:tcPr>
            <w:tcW w:w="1581" w:type="pct"/>
            <w:vAlign w:val="center"/>
          </w:tcPr>
          <w:p w:rsidR="008B6A27" w:rsidRPr="001A47EE" w:rsidRDefault="008B6A27" w:rsidP="008B6A27">
            <w:pPr>
              <w:spacing w:line="200" w:lineRule="exact"/>
              <w:rPr>
                <w:sz w:val="20"/>
                <w:szCs w:val="20"/>
              </w:rPr>
            </w:pPr>
            <w:r>
              <w:rPr>
                <w:rFonts w:cs="Georgia"/>
                <w:color w:val="12171B"/>
                <w:sz w:val="20"/>
                <w:szCs w:val="20"/>
              </w:rPr>
              <w:t xml:space="preserve">Multnomah County, OR </w:t>
            </w:r>
          </w:p>
        </w:tc>
      </w:tr>
      <w:tr w:rsidR="008B6A27" w:rsidRPr="001A47EE" w:rsidTr="00026B4D">
        <w:trPr>
          <w:trHeight w:hRule="exact" w:val="582"/>
        </w:trPr>
        <w:tc>
          <w:tcPr>
            <w:tcW w:w="1797" w:type="pct"/>
            <w:vAlign w:val="center"/>
          </w:tcPr>
          <w:p w:rsidR="008B6A27" w:rsidRPr="001A47EE" w:rsidRDefault="008B6A27" w:rsidP="008B6A27">
            <w:pPr>
              <w:tabs>
                <w:tab w:val="left" w:pos="1294"/>
              </w:tabs>
              <w:spacing w:line="200" w:lineRule="exact"/>
              <w:rPr>
                <w:sz w:val="20"/>
                <w:szCs w:val="20"/>
              </w:rPr>
            </w:pPr>
            <w:r w:rsidRPr="001A47EE">
              <w:rPr>
                <w:sz w:val="20"/>
                <w:szCs w:val="20"/>
              </w:rPr>
              <w:t>Detroit</w:t>
            </w:r>
            <w:r>
              <w:rPr>
                <w:sz w:val="20"/>
                <w:szCs w:val="20"/>
              </w:rPr>
              <w:t>, MI</w:t>
            </w:r>
          </w:p>
        </w:tc>
        <w:tc>
          <w:tcPr>
            <w:tcW w:w="1622" w:type="pct"/>
            <w:vAlign w:val="center"/>
          </w:tcPr>
          <w:p w:rsidR="008B6A27" w:rsidRPr="00E6205F" w:rsidRDefault="008B6A27" w:rsidP="008B6A27">
            <w:pPr>
              <w:spacing w:line="200" w:lineRule="exact"/>
              <w:rPr>
                <w:sz w:val="20"/>
                <w:szCs w:val="20"/>
              </w:rPr>
            </w:pPr>
            <w:r w:rsidRPr="00E6205F">
              <w:rPr>
                <w:sz w:val="20"/>
                <w:szCs w:val="20"/>
              </w:rPr>
              <w:t>Denver, CO</w:t>
            </w:r>
          </w:p>
        </w:tc>
        <w:tc>
          <w:tcPr>
            <w:tcW w:w="1581" w:type="pct"/>
            <w:vAlign w:val="center"/>
          </w:tcPr>
          <w:p w:rsidR="008B6A27" w:rsidRPr="001A47EE" w:rsidRDefault="008B6A27" w:rsidP="008B6A27">
            <w:pPr>
              <w:spacing w:line="200" w:lineRule="exact"/>
              <w:rPr>
                <w:sz w:val="20"/>
                <w:szCs w:val="20"/>
              </w:rPr>
            </w:pPr>
            <w:r w:rsidRPr="001A47EE">
              <w:rPr>
                <w:sz w:val="20"/>
                <w:szCs w:val="20"/>
              </w:rPr>
              <w:t>Portland</w:t>
            </w:r>
            <w:r>
              <w:rPr>
                <w:sz w:val="20"/>
                <w:szCs w:val="20"/>
              </w:rPr>
              <w:t>, ME</w:t>
            </w: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Long Beach,</w:t>
            </w:r>
            <w:r>
              <w:rPr>
                <w:sz w:val="20"/>
                <w:szCs w:val="20"/>
              </w:rPr>
              <w:t xml:space="preserve"> CA</w:t>
            </w:r>
            <w:r w:rsidRPr="001A47EE" w:rsidDel="00D274D6">
              <w:rPr>
                <w:sz w:val="20"/>
                <w:szCs w:val="20"/>
              </w:rPr>
              <w:t xml:space="preserve"> </w:t>
            </w:r>
          </w:p>
        </w:tc>
        <w:tc>
          <w:tcPr>
            <w:tcW w:w="1622" w:type="pct"/>
            <w:noWrap/>
            <w:tcMar>
              <w:left w:w="115" w:type="dxa"/>
              <w:right w:w="115" w:type="dxa"/>
            </w:tcMar>
            <w:vAlign w:val="center"/>
          </w:tcPr>
          <w:p w:rsidR="008B6A27" w:rsidRPr="00E6205F" w:rsidRDefault="008B6A27" w:rsidP="008B6A27">
            <w:pPr>
              <w:spacing w:line="200" w:lineRule="exact"/>
              <w:rPr>
                <w:sz w:val="20"/>
                <w:szCs w:val="20"/>
              </w:rPr>
            </w:pPr>
            <w:r w:rsidRPr="00E6205F">
              <w:rPr>
                <w:sz w:val="20"/>
                <w:szCs w:val="20"/>
              </w:rPr>
              <w:t>Detroit, MI</w:t>
            </w:r>
          </w:p>
        </w:tc>
        <w:tc>
          <w:tcPr>
            <w:tcW w:w="1581" w:type="pct"/>
            <w:vAlign w:val="center"/>
          </w:tcPr>
          <w:p w:rsidR="008B6A27" w:rsidRPr="001A47EE" w:rsidRDefault="008B6A27" w:rsidP="008B6A27">
            <w:pPr>
              <w:spacing w:line="200" w:lineRule="exact"/>
              <w:rPr>
                <w:sz w:val="20"/>
                <w:szCs w:val="20"/>
              </w:rPr>
            </w:pPr>
            <w:r w:rsidRPr="001A47EE">
              <w:rPr>
                <w:rFonts w:cs="Georgia"/>
                <w:color w:val="12171B"/>
                <w:sz w:val="20"/>
                <w:szCs w:val="20"/>
              </w:rPr>
              <w:t>Rosebud Sioux Tribe, S</w:t>
            </w:r>
            <w:r>
              <w:rPr>
                <w:rFonts w:cs="Georgia"/>
                <w:color w:val="12171B"/>
                <w:sz w:val="20"/>
                <w:szCs w:val="20"/>
              </w:rPr>
              <w:t>D</w:t>
            </w: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 xml:space="preserve">Louisville, </w:t>
            </w:r>
            <w:r>
              <w:rPr>
                <w:sz w:val="20"/>
                <w:szCs w:val="20"/>
              </w:rPr>
              <w:t>KY</w:t>
            </w:r>
            <w:r w:rsidRPr="001A47EE" w:rsidDel="00D274D6">
              <w:rPr>
                <w:sz w:val="20"/>
                <w:szCs w:val="20"/>
              </w:rPr>
              <w:t xml:space="preserve"> </w:t>
            </w:r>
          </w:p>
        </w:tc>
        <w:tc>
          <w:tcPr>
            <w:tcW w:w="1622" w:type="pct"/>
            <w:noWrap/>
            <w:tcMar>
              <w:left w:w="115" w:type="dxa"/>
              <w:right w:w="115" w:type="dxa"/>
            </w:tcMar>
            <w:vAlign w:val="center"/>
          </w:tcPr>
          <w:p w:rsidR="008B6A27" w:rsidRPr="00E6205F" w:rsidRDefault="008B6A27" w:rsidP="008B6A27">
            <w:pPr>
              <w:spacing w:line="200" w:lineRule="exact"/>
              <w:rPr>
                <w:sz w:val="20"/>
                <w:szCs w:val="20"/>
              </w:rPr>
            </w:pPr>
            <w:r w:rsidRPr="00E6205F">
              <w:rPr>
                <w:sz w:val="20"/>
                <w:szCs w:val="20"/>
              </w:rPr>
              <w:t>Kansas City, MO</w:t>
            </w:r>
          </w:p>
        </w:tc>
        <w:tc>
          <w:tcPr>
            <w:tcW w:w="1581" w:type="pct"/>
            <w:vAlign w:val="center"/>
          </w:tcPr>
          <w:p w:rsidR="008B6A27" w:rsidRPr="001A47EE" w:rsidRDefault="008B6A27" w:rsidP="008B6A27">
            <w:pPr>
              <w:spacing w:line="200" w:lineRule="exact"/>
              <w:rPr>
                <w:sz w:val="20"/>
                <w:szCs w:val="20"/>
              </w:rPr>
            </w:pPr>
            <w:r w:rsidRPr="001A47EE">
              <w:rPr>
                <w:rFonts w:cs="Georgia"/>
                <w:color w:val="12171B"/>
                <w:sz w:val="20"/>
                <w:szCs w:val="20"/>
              </w:rPr>
              <w:t>Shelby County, T</w:t>
            </w:r>
            <w:r>
              <w:rPr>
                <w:rFonts w:cs="Georgia"/>
                <w:color w:val="12171B"/>
                <w:sz w:val="20"/>
                <w:szCs w:val="20"/>
              </w:rPr>
              <w:t>N</w:t>
            </w: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 xml:space="preserve">Memphis, </w:t>
            </w:r>
            <w:r>
              <w:rPr>
                <w:sz w:val="20"/>
                <w:szCs w:val="20"/>
              </w:rPr>
              <w:t>TN</w:t>
            </w:r>
          </w:p>
        </w:tc>
        <w:tc>
          <w:tcPr>
            <w:tcW w:w="1622" w:type="pct"/>
            <w:vAlign w:val="center"/>
          </w:tcPr>
          <w:p w:rsidR="008B6A27" w:rsidRPr="001A47EE" w:rsidRDefault="008B6A27" w:rsidP="008B6A27">
            <w:pPr>
              <w:spacing w:line="200" w:lineRule="exact"/>
              <w:rPr>
                <w:sz w:val="20"/>
                <w:szCs w:val="20"/>
              </w:rPr>
            </w:pPr>
            <w:r>
              <w:rPr>
                <w:sz w:val="20"/>
                <w:szCs w:val="20"/>
              </w:rPr>
              <w:t>Los Angeles, CA</w:t>
            </w:r>
            <w:r w:rsidDel="006046B7">
              <w:rPr>
                <w:sz w:val="20"/>
                <w:szCs w:val="20"/>
              </w:rPr>
              <w:t xml:space="preserve"> </w:t>
            </w:r>
          </w:p>
        </w:tc>
        <w:tc>
          <w:tcPr>
            <w:tcW w:w="1581" w:type="pct"/>
            <w:vAlign w:val="center"/>
          </w:tcPr>
          <w:p w:rsidR="008B6A27" w:rsidRPr="001A47EE" w:rsidRDefault="008B6A27" w:rsidP="008B6A27">
            <w:pPr>
              <w:spacing w:line="200" w:lineRule="exact"/>
              <w:rPr>
                <w:sz w:val="20"/>
                <w:szCs w:val="20"/>
              </w:rPr>
            </w:pP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 xml:space="preserve">Minneapolis, </w:t>
            </w:r>
            <w:r>
              <w:rPr>
                <w:sz w:val="20"/>
                <w:szCs w:val="20"/>
              </w:rPr>
              <w:t>MN</w:t>
            </w:r>
            <w:r w:rsidRPr="001A47EE" w:rsidDel="00D274D6">
              <w:rPr>
                <w:sz w:val="20"/>
                <w:szCs w:val="20"/>
              </w:rPr>
              <w:t xml:space="preserve"> </w:t>
            </w:r>
          </w:p>
        </w:tc>
        <w:tc>
          <w:tcPr>
            <w:tcW w:w="1622" w:type="pct"/>
            <w:vAlign w:val="center"/>
          </w:tcPr>
          <w:p w:rsidR="008B6A27" w:rsidRPr="001A47EE" w:rsidRDefault="008B6A27" w:rsidP="008B6A27">
            <w:pPr>
              <w:spacing w:line="200" w:lineRule="exact"/>
              <w:rPr>
                <w:sz w:val="20"/>
                <w:szCs w:val="20"/>
              </w:rPr>
            </w:pPr>
            <w:r>
              <w:rPr>
                <w:sz w:val="20"/>
                <w:szCs w:val="20"/>
              </w:rPr>
              <w:t>Newark, NJ</w:t>
            </w:r>
          </w:p>
        </w:tc>
        <w:tc>
          <w:tcPr>
            <w:tcW w:w="1581" w:type="pct"/>
            <w:vAlign w:val="center"/>
          </w:tcPr>
          <w:p w:rsidR="008B6A27" w:rsidRPr="001A47EE" w:rsidRDefault="008B6A27" w:rsidP="008B6A27">
            <w:pPr>
              <w:spacing w:line="200" w:lineRule="exact"/>
              <w:rPr>
                <w:sz w:val="20"/>
                <w:szCs w:val="20"/>
              </w:rPr>
            </w:pP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 xml:space="preserve">New Orleans, </w:t>
            </w:r>
            <w:r>
              <w:rPr>
                <w:sz w:val="20"/>
                <w:szCs w:val="20"/>
              </w:rPr>
              <w:t>LA</w:t>
            </w:r>
          </w:p>
        </w:tc>
        <w:tc>
          <w:tcPr>
            <w:tcW w:w="1622" w:type="pct"/>
            <w:vAlign w:val="center"/>
          </w:tcPr>
          <w:p w:rsidR="008B6A27" w:rsidRPr="001A47EE" w:rsidRDefault="008B6A27" w:rsidP="008B6A27">
            <w:pPr>
              <w:spacing w:line="200" w:lineRule="exact"/>
              <w:rPr>
                <w:sz w:val="20"/>
                <w:szCs w:val="20"/>
              </w:rPr>
            </w:pPr>
            <w:r w:rsidRPr="001B3C87">
              <w:rPr>
                <w:sz w:val="20"/>
                <w:szCs w:val="20"/>
              </w:rPr>
              <w:t>Newport News, VA</w:t>
            </w:r>
          </w:p>
        </w:tc>
        <w:tc>
          <w:tcPr>
            <w:tcW w:w="1581" w:type="pct"/>
            <w:vAlign w:val="center"/>
          </w:tcPr>
          <w:p w:rsidR="008B6A27" w:rsidRPr="001A47EE" w:rsidRDefault="008B6A27" w:rsidP="008B6A27">
            <w:pPr>
              <w:spacing w:line="200" w:lineRule="exact"/>
              <w:rPr>
                <w:sz w:val="20"/>
                <w:szCs w:val="20"/>
              </w:rPr>
            </w:pP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 xml:space="preserve">Philadelphia, </w:t>
            </w:r>
            <w:r>
              <w:rPr>
                <w:sz w:val="20"/>
                <w:szCs w:val="20"/>
              </w:rPr>
              <w:t>PA</w:t>
            </w:r>
            <w:r w:rsidRPr="001A47EE" w:rsidDel="00D274D6">
              <w:rPr>
                <w:sz w:val="20"/>
                <w:szCs w:val="20"/>
              </w:rPr>
              <w:t xml:space="preserve"> </w:t>
            </w:r>
          </w:p>
        </w:tc>
        <w:tc>
          <w:tcPr>
            <w:tcW w:w="1622" w:type="pct"/>
            <w:vAlign w:val="center"/>
          </w:tcPr>
          <w:p w:rsidR="008B6A27" w:rsidRPr="001A47EE" w:rsidRDefault="008B6A27" w:rsidP="008B6A27">
            <w:pPr>
              <w:spacing w:line="200" w:lineRule="exact"/>
              <w:rPr>
                <w:sz w:val="20"/>
                <w:szCs w:val="20"/>
              </w:rPr>
            </w:pPr>
            <w:r>
              <w:rPr>
                <w:sz w:val="20"/>
                <w:szCs w:val="20"/>
              </w:rPr>
              <w:t xml:space="preserve">Oakland, CA </w:t>
            </w:r>
          </w:p>
        </w:tc>
        <w:tc>
          <w:tcPr>
            <w:tcW w:w="1581" w:type="pct"/>
            <w:vAlign w:val="center"/>
          </w:tcPr>
          <w:p w:rsidR="008B6A27" w:rsidRPr="001A47EE" w:rsidRDefault="008B6A27" w:rsidP="008B6A27">
            <w:pPr>
              <w:spacing w:line="200" w:lineRule="exact"/>
              <w:rPr>
                <w:sz w:val="20"/>
                <w:szCs w:val="20"/>
              </w:rPr>
            </w:pP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sidRPr="001A47EE">
              <w:rPr>
                <w:sz w:val="20"/>
                <w:szCs w:val="20"/>
              </w:rPr>
              <w:t xml:space="preserve">Salinas, </w:t>
            </w:r>
            <w:r>
              <w:rPr>
                <w:sz w:val="20"/>
                <w:szCs w:val="20"/>
              </w:rPr>
              <w:t>CA</w:t>
            </w:r>
          </w:p>
        </w:tc>
        <w:tc>
          <w:tcPr>
            <w:tcW w:w="1622" w:type="pct"/>
            <w:vAlign w:val="center"/>
          </w:tcPr>
          <w:p w:rsidR="008B6A27" w:rsidRPr="001A47EE" w:rsidRDefault="008B6A27" w:rsidP="008B6A27">
            <w:pPr>
              <w:spacing w:line="200" w:lineRule="exact"/>
              <w:rPr>
                <w:sz w:val="20"/>
                <w:szCs w:val="20"/>
              </w:rPr>
            </w:pPr>
            <w:r>
              <w:rPr>
                <w:sz w:val="20"/>
                <w:szCs w:val="20"/>
              </w:rPr>
              <w:t xml:space="preserve">Philadelphia, PA </w:t>
            </w:r>
          </w:p>
        </w:tc>
        <w:tc>
          <w:tcPr>
            <w:tcW w:w="1581" w:type="pct"/>
            <w:vAlign w:val="center"/>
          </w:tcPr>
          <w:p w:rsidR="008B6A27" w:rsidRPr="001A47EE" w:rsidRDefault="008B6A27" w:rsidP="008B6A27">
            <w:pPr>
              <w:spacing w:line="200" w:lineRule="exact"/>
              <w:rPr>
                <w:sz w:val="20"/>
                <w:szCs w:val="20"/>
              </w:rPr>
            </w:pP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Pr>
                <w:sz w:val="20"/>
                <w:szCs w:val="20"/>
              </w:rPr>
              <w:t>San Jose, CA</w:t>
            </w:r>
          </w:p>
        </w:tc>
        <w:tc>
          <w:tcPr>
            <w:tcW w:w="1622" w:type="pct"/>
            <w:vAlign w:val="center"/>
          </w:tcPr>
          <w:p w:rsidR="008B6A27" w:rsidRPr="001A47EE" w:rsidRDefault="008B6A27" w:rsidP="008B6A27">
            <w:pPr>
              <w:spacing w:line="200" w:lineRule="exact"/>
              <w:rPr>
                <w:sz w:val="20"/>
                <w:szCs w:val="20"/>
              </w:rPr>
            </w:pPr>
            <w:r>
              <w:rPr>
                <w:sz w:val="20"/>
                <w:szCs w:val="20"/>
              </w:rPr>
              <w:t xml:space="preserve">Prince George’s County, MD </w:t>
            </w:r>
          </w:p>
        </w:tc>
        <w:tc>
          <w:tcPr>
            <w:tcW w:w="1581" w:type="pct"/>
            <w:vAlign w:val="center"/>
          </w:tcPr>
          <w:p w:rsidR="008B6A27" w:rsidRPr="001A47EE" w:rsidRDefault="008B6A27" w:rsidP="008B6A27">
            <w:pPr>
              <w:spacing w:line="200" w:lineRule="exact"/>
              <w:rPr>
                <w:sz w:val="20"/>
                <w:szCs w:val="20"/>
              </w:rPr>
            </w:pP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r>
              <w:rPr>
                <w:sz w:val="20"/>
                <w:szCs w:val="20"/>
              </w:rPr>
              <w:t>Seattle</w:t>
            </w:r>
            <w:r w:rsidRPr="001A47EE">
              <w:rPr>
                <w:sz w:val="20"/>
                <w:szCs w:val="20"/>
              </w:rPr>
              <w:t xml:space="preserve">, </w:t>
            </w:r>
            <w:r>
              <w:rPr>
                <w:sz w:val="20"/>
                <w:szCs w:val="20"/>
              </w:rPr>
              <w:t>WA</w:t>
            </w:r>
          </w:p>
        </w:tc>
        <w:tc>
          <w:tcPr>
            <w:tcW w:w="1622" w:type="pct"/>
            <w:vAlign w:val="center"/>
          </w:tcPr>
          <w:p w:rsidR="008B6A27" w:rsidRPr="001A47EE" w:rsidRDefault="008B6A27" w:rsidP="008B6A27">
            <w:pPr>
              <w:spacing w:line="200" w:lineRule="exact"/>
              <w:rPr>
                <w:sz w:val="20"/>
                <w:szCs w:val="20"/>
              </w:rPr>
            </w:pPr>
            <w:r>
              <w:rPr>
                <w:sz w:val="20"/>
                <w:szCs w:val="20"/>
              </w:rPr>
              <w:t>Syracuse, NY</w:t>
            </w:r>
          </w:p>
        </w:tc>
        <w:tc>
          <w:tcPr>
            <w:tcW w:w="1581" w:type="pct"/>
            <w:vAlign w:val="center"/>
          </w:tcPr>
          <w:p w:rsidR="008B6A27" w:rsidRPr="003D7977" w:rsidRDefault="008B6A27" w:rsidP="008B6A27">
            <w:pPr>
              <w:spacing w:line="200" w:lineRule="exact"/>
              <w:rPr>
                <w:sz w:val="20"/>
                <w:szCs w:val="20"/>
              </w:rPr>
            </w:pPr>
          </w:p>
        </w:tc>
      </w:tr>
      <w:tr w:rsidR="008B6A27" w:rsidRPr="001A47EE" w:rsidTr="00026B4D">
        <w:trPr>
          <w:trHeight w:hRule="exact" w:val="582"/>
        </w:trPr>
        <w:tc>
          <w:tcPr>
            <w:tcW w:w="1797" w:type="pct"/>
            <w:vAlign w:val="center"/>
          </w:tcPr>
          <w:p w:rsidR="008B6A27" w:rsidRPr="001A47EE" w:rsidRDefault="008B6A27" w:rsidP="008B6A27">
            <w:pPr>
              <w:spacing w:line="200" w:lineRule="exact"/>
              <w:rPr>
                <w:sz w:val="20"/>
                <w:szCs w:val="20"/>
              </w:rPr>
            </w:pPr>
          </w:p>
        </w:tc>
        <w:tc>
          <w:tcPr>
            <w:tcW w:w="1622" w:type="pct"/>
            <w:vAlign w:val="center"/>
          </w:tcPr>
          <w:p w:rsidR="008B6A27" w:rsidRDefault="008B6A27" w:rsidP="008B6A27">
            <w:pPr>
              <w:spacing w:line="200" w:lineRule="exact"/>
              <w:rPr>
                <w:sz w:val="20"/>
                <w:szCs w:val="20"/>
              </w:rPr>
            </w:pPr>
            <w:r>
              <w:rPr>
                <w:sz w:val="20"/>
                <w:szCs w:val="20"/>
              </w:rPr>
              <w:t>Washington, DC</w:t>
            </w:r>
          </w:p>
        </w:tc>
        <w:tc>
          <w:tcPr>
            <w:tcW w:w="1581" w:type="pct"/>
            <w:vAlign w:val="center"/>
          </w:tcPr>
          <w:p w:rsidR="008B6A27" w:rsidRPr="003D7977" w:rsidRDefault="008B6A27" w:rsidP="008B6A27">
            <w:pPr>
              <w:spacing w:line="200" w:lineRule="exact"/>
              <w:rPr>
                <w:sz w:val="20"/>
                <w:szCs w:val="20"/>
              </w:rPr>
            </w:pPr>
          </w:p>
        </w:tc>
      </w:tr>
    </w:tbl>
    <w:p w:rsidR="00FD5542" w:rsidRDefault="00FD5542" w:rsidP="008B6A27">
      <w:pPr>
        <w:spacing w:after="240" w:line="240" w:lineRule="auto"/>
        <w:jc w:val="both"/>
        <w:rPr>
          <w:spacing w:val="-2"/>
          <w:sz w:val="20"/>
          <w:szCs w:val="20"/>
        </w:rPr>
      </w:pPr>
      <w:bookmarkStart w:id="0" w:name="_GoBack"/>
      <w:bookmarkEnd w:id="0"/>
    </w:p>
    <w:p w:rsidR="008B6A27" w:rsidRPr="00FD5542" w:rsidRDefault="00862BA3" w:rsidP="00FD5542">
      <w:pPr>
        <w:spacing w:after="240" w:line="240" w:lineRule="auto"/>
        <w:jc w:val="both"/>
        <w:rPr>
          <w:spacing w:val="-2"/>
          <w:sz w:val="20"/>
          <w:szCs w:val="20"/>
        </w:rPr>
      </w:pPr>
      <w:proofErr w:type="gramStart"/>
      <w:r w:rsidRPr="00B44A34">
        <w:rPr>
          <w:spacing w:val="-2"/>
          <w:sz w:val="20"/>
          <w:szCs w:val="20"/>
        </w:rPr>
        <w:t>involvement</w:t>
      </w:r>
      <w:proofErr w:type="gramEnd"/>
      <w:r w:rsidRPr="00B44A34">
        <w:rPr>
          <w:spacing w:val="-2"/>
          <w:sz w:val="20"/>
          <w:szCs w:val="20"/>
        </w:rPr>
        <w:t xml:space="preserve"> in the juvenile and criminal justice system</w:t>
      </w:r>
      <w:r w:rsidR="000F58AC" w:rsidRPr="00B44A34">
        <w:rPr>
          <w:spacing w:val="-2"/>
          <w:sz w:val="20"/>
          <w:szCs w:val="20"/>
        </w:rPr>
        <w:t xml:space="preserve">. To interrupt the cycle of violence and </w:t>
      </w:r>
      <w:r w:rsidR="00BD02A9" w:rsidRPr="00B44A34">
        <w:rPr>
          <w:spacing w:val="-2"/>
          <w:sz w:val="20"/>
          <w:szCs w:val="20"/>
        </w:rPr>
        <w:t xml:space="preserve">its </w:t>
      </w:r>
      <w:r w:rsidR="000F58AC" w:rsidRPr="00B44A34">
        <w:rPr>
          <w:spacing w:val="-2"/>
          <w:sz w:val="20"/>
          <w:szCs w:val="20"/>
        </w:rPr>
        <w:t xml:space="preserve">negative consequences, </w:t>
      </w:r>
      <w:r w:rsidR="008B0553" w:rsidRPr="00B44A34">
        <w:rPr>
          <w:spacing w:val="-2"/>
          <w:sz w:val="20"/>
          <w:szCs w:val="20"/>
        </w:rPr>
        <w:t xml:space="preserve">the Department of Justice </w:t>
      </w:r>
      <w:r w:rsidR="00F66FA9" w:rsidRPr="00B44A34">
        <w:rPr>
          <w:spacing w:val="-2"/>
          <w:sz w:val="20"/>
          <w:szCs w:val="20"/>
        </w:rPr>
        <w:t>awarded grants</w:t>
      </w:r>
      <w:r w:rsidR="008B0553" w:rsidRPr="00B44A34">
        <w:rPr>
          <w:spacing w:val="-2"/>
          <w:sz w:val="20"/>
          <w:szCs w:val="20"/>
        </w:rPr>
        <w:t xml:space="preserve"> to six </w:t>
      </w:r>
      <w:r w:rsidR="00BD02A9" w:rsidRPr="00B44A34">
        <w:rPr>
          <w:spacing w:val="-2"/>
          <w:sz w:val="20"/>
          <w:szCs w:val="20"/>
        </w:rPr>
        <w:t xml:space="preserve">communities </w:t>
      </w:r>
      <w:r w:rsidR="008B0553" w:rsidRPr="00B44A34">
        <w:rPr>
          <w:spacing w:val="-2"/>
          <w:sz w:val="20"/>
          <w:szCs w:val="20"/>
        </w:rPr>
        <w:t>and two tribal nations</w:t>
      </w:r>
      <w:r w:rsidR="00B53B8E" w:rsidRPr="00B44A34">
        <w:rPr>
          <w:spacing w:val="-2"/>
          <w:sz w:val="20"/>
          <w:szCs w:val="20"/>
        </w:rPr>
        <w:t xml:space="preserve"> to </w:t>
      </w:r>
      <w:r w:rsidR="00BD02A9" w:rsidRPr="00B44A34">
        <w:rPr>
          <w:spacing w:val="-2"/>
          <w:sz w:val="20"/>
          <w:szCs w:val="20"/>
        </w:rPr>
        <w:t xml:space="preserve">implement evidence-based treatment, </w:t>
      </w:r>
      <w:r w:rsidR="00B53B8E" w:rsidRPr="00B44A34">
        <w:rPr>
          <w:spacing w:val="-2"/>
          <w:sz w:val="20"/>
          <w:szCs w:val="20"/>
        </w:rPr>
        <w:t>community-based solutions</w:t>
      </w:r>
      <w:r w:rsidR="00BD02A9" w:rsidRPr="00B44A34">
        <w:rPr>
          <w:spacing w:val="-2"/>
          <w:sz w:val="20"/>
          <w:szCs w:val="20"/>
        </w:rPr>
        <w:t xml:space="preserve"> for violence prevention</w:t>
      </w:r>
      <w:r w:rsidR="00ED754B">
        <w:rPr>
          <w:spacing w:val="-2"/>
          <w:sz w:val="20"/>
          <w:szCs w:val="20"/>
        </w:rPr>
        <w:t>,</w:t>
      </w:r>
      <w:r w:rsidR="00BD02A9" w:rsidRPr="00B44A34">
        <w:rPr>
          <w:spacing w:val="-2"/>
          <w:sz w:val="20"/>
          <w:szCs w:val="20"/>
        </w:rPr>
        <w:t xml:space="preserve"> </w:t>
      </w:r>
      <w:r w:rsidR="00B53B8E" w:rsidRPr="00B44A34">
        <w:rPr>
          <w:spacing w:val="-2"/>
          <w:sz w:val="20"/>
          <w:szCs w:val="20"/>
        </w:rPr>
        <w:t xml:space="preserve">and </w:t>
      </w:r>
      <w:r w:rsidR="00BD02A9" w:rsidRPr="00B44A34">
        <w:rPr>
          <w:spacing w:val="-2"/>
          <w:sz w:val="20"/>
          <w:szCs w:val="20"/>
        </w:rPr>
        <w:t xml:space="preserve">to </w:t>
      </w:r>
      <w:r w:rsidR="00B2320F" w:rsidRPr="00B44A34">
        <w:rPr>
          <w:spacing w:val="-2"/>
          <w:sz w:val="20"/>
          <w:szCs w:val="20"/>
        </w:rPr>
        <w:t>re</w:t>
      </w:r>
      <w:r w:rsidR="00BD02A9" w:rsidRPr="00B44A34">
        <w:rPr>
          <w:spacing w:val="-2"/>
          <w:sz w:val="20"/>
          <w:szCs w:val="20"/>
        </w:rPr>
        <w:t xml:space="preserve">vise </w:t>
      </w:r>
      <w:r w:rsidR="00B53B8E" w:rsidRPr="00B44A34">
        <w:rPr>
          <w:spacing w:val="-2"/>
          <w:sz w:val="20"/>
          <w:szCs w:val="20"/>
        </w:rPr>
        <w:t xml:space="preserve">policies and practices </w:t>
      </w:r>
      <w:r w:rsidR="00BD02A9" w:rsidRPr="00B44A34">
        <w:rPr>
          <w:spacing w:val="-2"/>
          <w:sz w:val="20"/>
          <w:szCs w:val="20"/>
        </w:rPr>
        <w:t xml:space="preserve">within </w:t>
      </w:r>
      <w:r w:rsidR="00B53B8E" w:rsidRPr="00B44A34">
        <w:rPr>
          <w:spacing w:val="-2"/>
          <w:sz w:val="20"/>
          <w:szCs w:val="20"/>
        </w:rPr>
        <w:t xml:space="preserve">the </w:t>
      </w:r>
      <w:r w:rsidR="00B2320F" w:rsidRPr="00B44A34">
        <w:rPr>
          <w:spacing w:val="-2"/>
          <w:sz w:val="20"/>
          <w:szCs w:val="20"/>
        </w:rPr>
        <w:t xml:space="preserve">public systems that </w:t>
      </w:r>
      <w:r w:rsidR="00944B60" w:rsidRPr="00B44A34">
        <w:rPr>
          <w:spacing w:val="-2"/>
          <w:sz w:val="20"/>
          <w:szCs w:val="20"/>
        </w:rPr>
        <w:t>serve children and families</w:t>
      </w:r>
      <w:r w:rsidR="00252C12" w:rsidRPr="00B44A34">
        <w:rPr>
          <w:spacing w:val="-2"/>
          <w:sz w:val="20"/>
          <w:szCs w:val="20"/>
        </w:rPr>
        <w:t>.</w:t>
      </w:r>
    </w:p>
    <w:p w:rsidR="006B045C" w:rsidRPr="00F906FD" w:rsidRDefault="00B44A34" w:rsidP="00F95FCE">
      <w:pPr>
        <w:spacing w:after="60" w:line="240" w:lineRule="auto"/>
        <w:rPr>
          <w:b/>
          <w:color w:val="384A7C"/>
          <w:sz w:val="28"/>
          <w:szCs w:val="28"/>
        </w:rPr>
      </w:pPr>
      <w:r w:rsidRPr="00F906FD">
        <w:rPr>
          <w:b/>
          <w:noProof/>
          <w:color w:val="384A7C"/>
          <w:sz w:val="28"/>
          <w:szCs w:val="28"/>
        </w:rPr>
        <w:lastRenderedPageBreak/>
        <mc:AlternateContent>
          <mc:Choice Requires="wps">
            <w:drawing>
              <wp:anchor distT="0" distB="0" distL="114300" distR="114300" simplePos="0" relativeHeight="251662336" behindDoc="0" locked="0" layoutInCell="1" allowOverlap="1" wp14:anchorId="2C66DF62" wp14:editId="24FFE988">
                <wp:simplePos x="0" y="0"/>
                <wp:positionH relativeFrom="column">
                  <wp:posOffset>19050</wp:posOffset>
                </wp:positionH>
                <wp:positionV relativeFrom="paragraph">
                  <wp:posOffset>-161925</wp:posOffset>
                </wp:positionV>
                <wp:extent cx="6798310" cy="0"/>
                <wp:effectExtent l="0" t="38100" r="2540" b="38100"/>
                <wp:wrapNone/>
                <wp:docPr id="3" name="Straight Connector 3"/>
                <wp:cNvGraphicFramePr/>
                <a:graphic xmlns:a="http://schemas.openxmlformats.org/drawingml/2006/main">
                  <a:graphicData uri="http://schemas.microsoft.com/office/word/2010/wordprocessingShape">
                    <wps:wsp>
                      <wps:cNvCnPr/>
                      <wps:spPr>
                        <a:xfrm>
                          <a:off x="0" y="0"/>
                          <a:ext cx="6798310" cy="0"/>
                        </a:xfrm>
                        <a:prstGeom prst="line">
                          <a:avLst/>
                        </a:prstGeom>
                        <a:ln w="76200">
                          <a:solidFill>
                            <a:srgbClr val="384A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75pt" to="536.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" strokecolor="#384a7c" strokeweight="6pt"/>
            </w:pict>
          </mc:Fallback>
        </mc:AlternateContent>
      </w:r>
      <w:r w:rsidR="00ED754B">
        <w:rPr>
          <w:b/>
          <w:color w:val="384A7C"/>
          <w:sz w:val="28"/>
          <w:szCs w:val="28"/>
        </w:rPr>
        <w:t xml:space="preserve">The </w:t>
      </w:r>
      <w:r w:rsidR="006B045C" w:rsidRPr="00F906FD">
        <w:rPr>
          <w:b/>
          <w:color w:val="384A7C"/>
          <w:sz w:val="28"/>
          <w:szCs w:val="28"/>
        </w:rPr>
        <w:t>Shared Framework</w:t>
      </w:r>
    </w:p>
    <w:p w:rsidR="00300F4F" w:rsidRPr="00EC5C09" w:rsidRDefault="00300F4F" w:rsidP="00300F4F">
      <w:pPr>
        <w:spacing w:after="0" w:line="240" w:lineRule="auto"/>
        <w:rPr>
          <w:sz w:val="20"/>
          <w:szCs w:val="20"/>
        </w:rPr>
      </w:pPr>
      <w:r w:rsidRPr="00EC5C09">
        <w:rPr>
          <w:sz w:val="20"/>
          <w:szCs w:val="20"/>
        </w:rPr>
        <w:t xml:space="preserve">The Shared Framework to Reduce Youth Violence and Promote Well-Being (Shared Framework), which was developed by CDC and OJJDP, is designed to facilitate understanding and collective action by those whose efforts influence and contribute to safe and nurturing families and communities (For more information, visit </w:t>
      </w:r>
      <w:hyperlink r:id="rId12" w:history="1">
        <w:r w:rsidRPr="00943416">
          <w:rPr>
            <w:rStyle w:val="Hyperlink"/>
            <w:color w:val="384A7C"/>
            <w:sz w:val="20"/>
            <w:szCs w:val="20"/>
          </w:rPr>
          <w:t>https://prezi.com/gy8vvmv4j3zz/copy-of-shared-framework-reducing-youth-violence/</w:t>
        </w:r>
      </w:hyperlink>
      <w:r w:rsidRPr="00943416">
        <w:rPr>
          <w:color w:val="384A7C"/>
          <w:sz w:val="20"/>
          <w:szCs w:val="20"/>
        </w:rPr>
        <w:t xml:space="preserve">).  </w:t>
      </w:r>
      <w:r w:rsidRPr="00EC5C09">
        <w:rPr>
          <w:sz w:val="20"/>
          <w:szCs w:val="20"/>
        </w:rPr>
        <w:t>The Shared Framework sets forth a unifying paradigm and common language for those working to reduce youth violence and help children and youth thrive.  It describes values, action principles</w:t>
      </w:r>
      <w:r>
        <w:rPr>
          <w:sz w:val="20"/>
          <w:szCs w:val="20"/>
        </w:rPr>
        <w:t>,</w:t>
      </w:r>
      <w:r w:rsidRPr="00EC5C09">
        <w:rPr>
          <w:sz w:val="20"/>
          <w:szCs w:val="20"/>
        </w:rPr>
        <w:t xml:space="preserve"> and a theory of change that is built on three decades of research and practice.  The Shared Framework can serve as a tool for all those seeking to bring about productive change and to sustain what works and is being used to help OJJDP sites, CDC grantees</w:t>
      </w:r>
      <w:r>
        <w:rPr>
          <w:sz w:val="20"/>
          <w:szCs w:val="20"/>
        </w:rPr>
        <w:t>,</w:t>
      </w:r>
      <w:r w:rsidRPr="00EC5C09">
        <w:rPr>
          <w:sz w:val="20"/>
          <w:szCs w:val="20"/>
        </w:rPr>
        <w:t xml:space="preserve"> and federal, state, and local partners of the initiatives broaden and enhance their efforts.</w:t>
      </w:r>
    </w:p>
    <w:p w:rsidR="0004659B" w:rsidRPr="00F906FD" w:rsidRDefault="0004659B" w:rsidP="00635543">
      <w:pPr>
        <w:pStyle w:val="CommentText"/>
        <w:spacing w:before="240" w:after="60"/>
        <w:rPr>
          <w:b/>
          <w:color w:val="384A7C"/>
          <w:sz w:val="28"/>
          <w:szCs w:val="28"/>
        </w:rPr>
      </w:pPr>
      <w:r w:rsidRPr="00F906FD">
        <w:rPr>
          <w:b/>
          <w:color w:val="384A7C"/>
          <w:sz w:val="28"/>
          <w:szCs w:val="28"/>
        </w:rPr>
        <w:t>Technical Support</w:t>
      </w:r>
    </w:p>
    <w:p w:rsidR="00300F4F" w:rsidRPr="00E01A62" w:rsidRDefault="00300F4F" w:rsidP="00300F4F">
      <w:pPr>
        <w:spacing w:after="0" w:line="240" w:lineRule="auto"/>
        <w:rPr>
          <w:spacing w:val="2"/>
          <w:sz w:val="20"/>
          <w:szCs w:val="20"/>
        </w:rPr>
      </w:pPr>
      <w:r w:rsidRPr="00E01A62">
        <w:rPr>
          <w:spacing w:val="2"/>
          <w:sz w:val="20"/>
          <w:szCs w:val="20"/>
        </w:rPr>
        <w:t>OJJDP and its federal partners provide oversight and capacity building to the funded communities through a wide range of training and technical assistance, including strategic planning, webinars, resource materials, peer-to-peer learning, and onsite visits. Notably, OJJDP has convened National Summits in 2011, 2012</w:t>
      </w:r>
      <w:r>
        <w:rPr>
          <w:spacing w:val="2"/>
          <w:sz w:val="20"/>
          <w:szCs w:val="20"/>
        </w:rPr>
        <w:t>,</w:t>
      </w:r>
      <w:r w:rsidRPr="00E01A62">
        <w:rPr>
          <w:spacing w:val="2"/>
          <w:sz w:val="20"/>
          <w:szCs w:val="20"/>
        </w:rPr>
        <w:t xml:space="preserve"> and 2013</w:t>
      </w:r>
      <w:r>
        <w:rPr>
          <w:spacing w:val="2"/>
          <w:sz w:val="20"/>
          <w:szCs w:val="20"/>
        </w:rPr>
        <w:t>;</w:t>
      </w:r>
      <w:r w:rsidRPr="00E01A62">
        <w:rPr>
          <w:spacing w:val="2"/>
          <w:sz w:val="20"/>
          <w:szCs w:val="20"/>
        </w:rPr>
        <w:t xml:space="preserve"> an Implementation Science Training Institute in 2014</w:t>
      </w:r>
      <w:r>
        <w:rPr>
          <w:spacing w:val="2"/>
          <w:sz w:val="20"/>
          <w:szCs w:val="20"/>
        </w:rPr>
        <w:t>;</w:t>
      </w:r>
      <w:r w:rsidRPr="00E01A62">
        <w:rPr>
          <w:spacing w:val="2"/>
          <w:sz w:val="20"/>
          <w:szCs w:val="20"/>
        </w:rPr>
        <w:t xml:space="preserve"> and annual gatherings of the Defending Childhood sites. These events bring together local leadership from the key sectors of education, public health, law enforcement, and child welfare with federal staff, technical assistance providers and evaluators to advance the necessary commitments, systems changes, and resource allocation to reduce youth violence.  In 2014, OJJDP established a coordinated training and technical assistance effort to facilitate further alignment and cross-initiative learning.  </w:t>
      </w:r>
    </w:p>
    <w:p w:rsidR="002D26DB" w:rsidRPr="00F906FD" w:rsidRDefault="002D26DB" w:rsidP="00635543">
      <w:pPr>
        <w:spacing w:before="240" w:after="60" w:line="240" w:lineRule="auto"/>
        <w:rPr>
          <w:b/>
          <w:color w:val="384A7C"/>
          <w:sz w:val="28"/>
          <w:szCs w:val="28"/>
        </w:rPr>
      </w:pPr>
      <w:r w:rsidRPr="00F906FD">
        <w:rPr>
          <w:b/>
          <w:color w:val="384A7C"/>
          <w:sz w:val="28"/>
          <w:szCs w:val="28"/>
        </w:rPr>
        <w:t>Outcomes</w:t>
      </w:r>
    </w:p>
    <w:p w:rsidR="00300F4F" w:rsidRPr="00EC5C09" w:rsidRDefault="00300F4F" w:rsidP="00300F4F">
      <w:pPr>
        <w:spacing w:after="0" w:line="240" w:lineRule="auto"/>
        <w:rPr>
          <w:rFonts w:ascii="Calibri" w:hAnsi="Calibri" w:cs="Times New Roman"/>
          <w:color w:val="000000"/>
          <w:sz w:val="20"/>
          <w:szCs w:val="20"/>
        </w:rPr>
      </w:pPr>
      <w:r w:rsidRPr="00EC5C09">
        <w:rPr>
          <w:rFonts w:ascii="Calibri" w:hAnsi="Calibri" w:cs="Times New Roman"/>
          <w:color w:val="000000"/>
          <w:sz w:val="20"/>
          <w:szCs w:val="20"/>
        </w:rPr>
        <w:t xml:space="preserve">Over the past </w:t>
      </w:r>
      <w:r>
        <w:rPr>
          <w:rFonts w:ascii="Calibri" w:hAnsi="Calibri" w:cs="Times New Roman"/>
          <w:color w:val="000000"/>
          <w:sz w:val="20"/>
          <w:szCs w:val="20"/>
        </w:rPr>
        <w:t>3</w:t>
      </w:r>
      <w:r w:rsidRPr="00EC5C09">
        <w:rPr>
          <w:rFonts w:ascii="Calibri" w:hAnsi="Calibri" w:cs="Times New Roman"/>
          <w:color w:val="000000"/>
          <w:sz w:val="20"/>
          <w:szCs w:val="20"/>
        </w:rPr>
        <w:t xml:space="preserve"> years, the number of sites participating in these initiatives increased to 39. Using a range of violence prevention and other collective-impact strategies, these communities have realized achievements</w:t>
      </w:r>
      <w:r>
        <w:rPr>
          <w:rFonts w:ascii="Calibri" w:hAnsi="Calibri" w:cs="Times New Roman"/>
          <w:color w:val="000000"/>
          <w:sz w:val="20"/>
          <w:szCs w:val="20"/>
        </w:rPr>
        <w:t>—</w:t>
      </w:r>
      <w:r w:rsidRPr="00EC5C09">
        <w:rPr>
          <w:rFonts w:ascii="Calibri" w:hAnsi="Calibri" w:cs="Times New Roman"/>
          <w:color w:val="000000"/>
          <w:sz w:val="20"/>
          <w:szCs w:val="20"/>
        </w:rPr>
        <w:t>including self-reported reductions in violence</w:t>
      </w:r>
      <w:r>
        <w:rPr>
          <w:rFonts w:ascii="Calibri" w:hAnsi="Calibri" w:cs="Times New Roman"/>
          <w:color w:val="000000"/>
          <w:sz w:val="20"/>
          <w:szCs w:val="20"/>
        </w:rPr>
        <w:t>—t</w:t>
      </w:r>
      <w:r w:rsidRPr="00EC5C09">
        <w:rPr>
          <w:rFonts w:ascii="Calibri" w:hAnsi="Calibri" w:cs="Times New Roman"/>
          <w:color w:val="000000"/>
          <w:sz w:val="20"/>
          <w:szCs w:val="20"/>
        </w:rPr>
        <w:t>hat may be attributed to these programs. Each reflects a growing commitment to finding comprehensive methods to prevent youth violence and enhance youth development</w:t>
      </w:r>
      <w:r>
        <w:rPr>
          <w:rFonts w:ascii="Calibri" w:hAnsi="Calibri" w:cs="Times New Roman"/>
          <w:color w:val="000000"/>
          <w:sz w:val="20"/>
          <w:szCs w:val="20"/>
        </w:rPr>
        <w:t>.</w:t>
      </w:r>
    </w:p>
    <w:p w:rsidR="00536F63" w:rsidRDefault="00536F63" w:rsidP="00536F63">
      <w:pPr>
        <w:spacing w:after="0" w:line="240" w:lineRule="auto"/>
        <w:ind w:left="432" w:right="576"/>
        <w:rPr>
          <w:rFonts w:ascii="Calibri" w:hAnsi="Calibri" w:cs="Times New Roman"/>
          <w:color w:val="000000" w:themeColor="text1"/>
          <w:sz w:val="20"/>
          <w:szCs w:val="20"/>
        </w:rPr>
      </w:pPr>
    </w:p>
    <w:p w:rsidR="00536F63" w:rsidRDefault="00536F63" w:rsidP="00536F63">
      <w:pPr>
        <w:spacing w:after="0" w:line="240" w:lineRule="auto"/>
        <w:ind w:left="432" w:right="576"/>
        <w:rPr>
          <w:rFonts w:ascii="Calibri" w:hAnsi="Calibri" w:cs="Times New Roman"/>
          <w:color w:val="000000" w:themeColor="text1"/>
          <w:sz w:val="20"/>
          <w:szCs w:val="20"/>
        </w:rPr>
      </w:pPr>
    </w:p>
    <w:p w:rsidR="00536F63" w:rsidRDefault="00CA3428" w:rsidP="00536F63">
      <w:pPr>
        <w:spacing w:after="0" w:line="240" w:lineRule="auto"/>
        <w:ind w:left="432" w:right="576"/>
        <w:rPr>
          <w:rFonts w:ascii="Calibri" w:hAnsi="Calibri" w:cs="Times New Roman"/>
          <w:color w:val="000000" w:themeColor="text1"/>
          <w:sz w:val="20"/>
          <w:szCs w:val="20"/>
        </w:rPr>
      </w:pPr>
      <w:r>
        <w:rPr>
          <w:rFonts w:ascii="Times" w:hAnsi="Times" w:cs="Times New Roman"/>
          <w:noProof/>
          <w:color w:val="000000" w:themeColor="text1"/>
        </w:rPr>
        <w:drawing>
          <wp:anchor distT="0" distB="0" distL="114300" distR="114300" simplePos="0" relativeHeight="251669504" behindDoc="1" locked="0" layoutInCell="1" allowOverlap="1" wp14:anchorId="2584C612" wp14:editId="5AC19B13">
            <wp:simplePos x="0" y="0"/>
            <wp:positionH relativeFrom="margin">
              <wp:posOffset>772795</wp:posOffset>
            </wp:positionH>
            <wp:positionV relativeFrom="margin">
              <wp:posOffset>7821930</wp:posOffset>
            </wp:positionV>
            <wp:extent cx="1212215" cy="640080"/>
            <wp:effectExtent l="0" t="0" r="6985" b="7620"/>
            <wp:wrapTight wrapText="bothSides">
              <wp:wrapPolygon edited="0">
                <wp:start x="0" y="0"/>
                <wp:lineTo x="0" y="21214"/>
                <wp:lineTo x="21385" y="21214"/>
                <wp:lineTo x="2138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JJDP_logo_blue14.jpg"/>
                    <pic:cNvPicPr/>
                  </pic:nvPicPr>
                  <pic:blipFill>
                    <a:blip r:embed="rId13">
                      <a:extLst>
                        <a:ext uri="{28A0092B-C50C-407E-A947-70E740481C1C}">
                          <a14:useLocalDpi xmlns:a14="http://schemas.microsoft.com/office/drawing/2010/main" val="0"/>
                        </a:ext>
                      </a:extLst>
                    </a:blip>
                    <a:stretch>
                      <a:fillRect/>
                    </a:stretch>
                  </pic:blipFill>
                  <pic:spPr>
                    <a:xfrm>
                      <a:off x="0" y="0"/>
                      <a:ext cx="1212215" cy="640080"/>
                    </a:xfrm>
                    <a:prstGeom prst="rect">
                      <a:avLst/>
                    </a:prstGeom>
                  </pic:spPr>
                </pic:pic>
              </a:graphicData>
            </a:graphic>
            <wp14:sizeRelH relativeFrom="margin">
              <wp14:pctWidth>0</wp14:pctWidth>
            </wp14:sizeRelH>
            <wp14:sizeRelV relativeFrom="margin">
              <wp14:pctHeight>0</wp14:pctHeight>
            </wp14:sizeRelV>
          </wp:anchor>
        </w:drawing>
      </w:r>
    </w:p>
    <w:p w:rsidR="00975F46" w:rsidRDefault="00975F46" w:rsidP="00536F63">
      <w:pPr>
        <w:spacing w:after="120" w:line="240" w:lineRule="auto"/>
        <w:ind w:left="432" w:right="576"/>
        <w:rPr>
          <w:rFonts w:ascii="Calibri" w:hAnsi="Calibri" w:cs="Times New Roman"/>
          <w:color w:val="000000" w:themeColor="text1"/>
          <w:sz w:val="20"/>
          <w:szCs w:val="20"/>
        </w:rPr>
      </w:pPr>
    </w:p>
    <w:p w:rsidR="00975F46" w:rsidRDefault="00975F46" w:rsidP="00536F63">
      <w:pPr>
        <w:spacing w:after="120" w:line="240" w:lineRule="auto"/>
        <w:ind w:left="432" w:right="576"/>
        <w:rPr>
          <w:rFonts w:ascii="Calibri" w:hAnsi="Calibri" w:cs="Times New Roman"/>
          <w:color w:val="000000" w:themeColor="text1"/>
          <w:sz w:val="20"/>
          <w:szCs w:val="20"/>
        </w:rPr>
      </w:pPr>
    </w:p>
    <w:p w:rsidR="00975F46" w:rsidRDefault="00975F46" w:rsidP="00536F63">
      <w:pPr>
        <w:spacing w:after="120" w:line="240" w:lineRule="auto"/>
        <w:ind w:left="432" w:right="576"/>
        <w:rPr>
          <w:rFonts w:ascii="Calibri" w:hAnsi="Calibri" w:cs="Times New Roman"/>
          <w:color w:val="000000" w:themeColor="text1"/>
          <w:sz w:val="20"/>
          <w:szCs w:val="20"/>
        </w:rPr>
      </w:pPr>
    </w:p>
    <w:p w:rsidR="00975F46" w:rsidRDefault="00975F46" w:rsidP="00536F63">
      <w:pPr>
        <w:spacing w:after="120" w:line="240" w:lineRule="auto"/>
        <w:ind w:left="432" w:right="576"/>
        <w:rPr>
          <w:rFonts w:ascii="Calibri" w:hAnsi="Calibri" w:cs="Times New Roman"/>
          <w:color w:val="000000" w:themeColor="text1"/>
          <w:sz w:val="20"/>
          <w:szCs w:val="20"/>
        </w:rPr>
      </w:pPr>
    </w:p>
    <w:p w:rsidR="00975F46" w:rsidRDefault="00975F46" w:rsidP="00B16587">
      <w:pPr>
        <w:spacing w:after="120" w:line="240" w:lineRule="auto"/>
        <w:ind w:left="432" w:right="576"/>
        <w:rPr>
          <w:rFonts w:ascii="Calibri" w:hAnsi="Calibri" w:cs="Times New Roman"/>
          <w:color w:val="000000" w:themeColor="text1"/>
          <w:sz w:val="20"/>
          <w:szCs w:val="20"/>
        </w:rPr>
      </w:pPr>
      <w:r>
        <w:rPr>
          <w:rFonts w:ascii="Calibri" w:hAnsi="Calibri" w:cs="Times New Roman"/>
          <w:noProof/>
          <w:color w:val="000000" w:themeColor="text1"/>
          <w:sz w:val="20"/>
          <w:szCs w:val="20"/>
        </w:rPr>
        <w:lastRenderedPageBreak/>
        <mc:AlternateContent>
          <mc:Choice Requires="wps">
            <w:drawing>
              <wp:anchor distT="0" distB="0" distL="114300" distR="114300" simplePos="0" relativeHeight="251668480" behindDoc="1" locked="0" layoutInCell="1" allowOverlap="1" wp14:anchorId="4F13BF3D" wp14:editId="439C5755">
                <wp:simplePos x="0" y="0"/>
                <wp:positionH relativeFrom="column">
                  <wp:posOffset>9525</wp:posOffset>
                </wp:positionH>
                <wp:positionV relativeFrom="paragraph">
                  <wp:posOffset>1</wp:posOffset>
                </wp:positionV>
                <wp:extent cx="3152585" cy="8458200"/>
                <wp:effectExtent l="0" t="0" r="0" b="0"/>
                <wp:wrapNone/>
                <wp:docPr id="16" name="Rectangle 16"/>
                <wp:cNvGraphicFramePr/>
                <a:graphic xmlns:a="http://schemas.openxmlformats.org/drawingml/2006/main">
                  <a:graphicData uri="http://schemas.microsoft.com/office/word/2010/wordprocessingShape">
                    <wps:wsp>
                      <wps:cNvSpPr/>
                      <wps:spPr>
                        <a:xfrm>
                          <a:off x="0" y="0"/>
                          <a:ext cx="3152585" cy="84582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75pt;margin-top:0;width:248.25pt;height:6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" fillcolor="#d8d8d8 [2732]" stroked="f" strokeweight="2pt"/>
            </w:pict>
          </mc:Fallback>
        </mc:AlternateContent>
      </w:r>
    </w:p>
    <w:p w:rsidR="00300F4F" w:rsidRPr="00943416" w:rsidRDefault="00300F4F" w:rsidP="00300F4F">
      <w:pPr>
        <w:spacing w:after="60" w:line="240" w:lineRule="auto"/>
        <w:ind w:left="432" w:right="576"/>
        <w:rPr>
          <w:rFonts w:ascii="Times" w:eastAsia="Times New Roman" w:hAnsi="Times" w:cs="Times New Roman"/>
          <w:color w:val="384A7C"/>
          <w:sz w:val="20"/>
          <w:szCs w:val="20"/>
        </w:rPr>
      </w:pPr>
      <w:r w:rsidRPr="000A6573">
        <w:rPr>
          <w:rFonts w:ascii="Calibri" w:hAnsi="Calibri" w:cs="Times New Roman"/>
          <w:b/>
          <w:color w:val="384A7C"/>
          <w:sz w:val="20"/>
          <w:szCs w:val="20"/>
        </w:rPr>
        <w:t>The National Forum</w:t>
      </w:r>
      <w:r w:rsidRPr="000A6573">
        <w:rPr>
          <w:rFonts w:ascii="Calibri" w:hAnsi="Calibri" w:cs="Times New Roman"/>
          <w:color w:val="384A7C"/>
          <w:sz w:val="20"/>
          <w:szCs w:val="20"/>
        </w:rPr>
        <w:t xml:space="preserve"> </w:t>
      </w:r>
      <w:r w:rsidRPr="00536F63">
        <w:rPr>
          <w:rFonts w:ascii="Calibri" w:hAnsi="Calibri" w:cs="Times New Roman"/>
          <w:color w:val="000000" w:themeColor="text1"/>
          <w:sz w:val="20"/>
          <w:szCs w:val="20"/>
        </w:rPr>
        <w:t xml:space="preserve">cities reported reductions in homicides and juvenile violent crime in 9 out of 10 cities during 2014. In one Forum city, violent crime decreased by 22 percent last year. Nonfatal shootings have also dropped from previous years in these cities. Additionally, some cities report changes in quality-of-life measures such as increased school retention, better police practices, passage of state legislation to leverage </w:t>
      </w:r>
      <w:r w:rsidRPr="00536F63">
        <w:rPr>
          <w:rFonts w:ascii="Calibri" w:hAnsi="Calibri" w:cs="Times New Roman"/>
          <w:bCs/>
          <w:color w:val="000000" w:themeColor="text1"/>
          <w:sz w:val="20"/>
          <w:szCs w:val="20"/>
        </w:rPr>
        <w:t>resources</w:t>
      </w:r>
      <w:r w:rsidRPr="00536F63">
        <w:rPr>
          <w:rFonts w:ascii="Calibri" w:hAnsi="Calibri" w:cs="Times New Roman"/>
          <w:b/>
          <w:bCs/>
          <w:color w:val="000000" w:themeColor="text1"/>
          <w:sz w:val="20"/>
          <w:szCs w:val="20"/>
        </w:rPr>
        <w:t>,</w:t>
      </w:r>
      <w:r w:rsidRPr="00536F63">
        <w:rPr>
          <w:rFonts w:ascii="Calibri" w:hAnsi="Calibri" w:cs="Times New Roman"/>
          <w:color w:val="000000" w:themeColor="text1"/>
          <w:sz w:val="20"/>
          <w:szCs w:val="20"/>
        </w:rPr>
        <w:t xml:space="preserve"> and passage of local tax measures.  For more information, visit </w:t>
      </w:r>
      <w:hyperlink r:id="rId14" w:history="1">
        <w:r w:rsidRPr="00943416">
          <w:rPr>
            <w:rStyle w:val="Hyperlink"/>
            <w:color w:val="384A7C"/>
            <w:sz w:val="20"/>
            <w:szCs w:val="20"/>
          </w:rPr>
          <w:t>http://www.findyouthinfo.gov/youth-topics/preventing-youth-violence</w:t>
        </w:r>
      </w:hyperlink>
      <w:r w:rsidRPr="00943416">
        <w:rPr>
          <w:rFonts w:ascii="Times" w:eastAsia="Times New Roman" w:hAnsi="Times" w:cs="Times New Roman"/>
          <w:color w:val="384A7C"/>
          <w:sz w:val="20"/>
          <w:szCs w:val="20"/>
        </w:rPr>
        <w:t>.</w:t>
      </w:r>
    </w:p>
    <w:p w:rsidR="00FA502B" w:rsidRPr="00BF1737" w:rsidRDefault="00FA502B" w:rsidP="00536F63">
      <w:pPr>
        <w:spacing w:after="120" w:line="240" w:lineRule="auto"/>
        <w:ind w:left="432" w:right="576"/>
        <w:rPr>
          <w:rFonts w:ascii="Times" w:eastAsia="Times New Roman" w:hAnsi="Times" w:cs="Times New Roman"/>
          <w:color w:val="000000" w:themeColor="text1"/>
          <w:sz w:val="20"/>
          <w:szCs w:val="20"/>
        </w:rPr>
      </w:pPr>
    </w:p>
    <w:p w:rsidR="00300F4F" w:rsidRPr="00536F63" w:rsidRDefault="00300F4F" w:rsidP="00300F4F">
      <w:pPr>
        <w:spacing w:after="60" w:line="240" w:lineRule="auto"/>
        <w:ind w:left="432" w:right="576"/>
        <w:rPr>
          <w:rFonts w:ascii="Times" w:hAnsi="Times" w:cs="Times New Roman"/>
          <w:color w:val="000000" w:themeColor="text1"/>
          <w:spacing w:val="2"/>
          <w:sz w:val="20"/>
          <w:szCs w:val="20"/>
        </w:rPr>
      </w:pPr>
      <w:r w:rsidRPr="000A6573">
        <w:rPr>
          <w:rFonts w:ascii="Calibri" w:hAnsi="Calibri" w:cs="Times New Roman"/>
          <w:b/>
          <w:color w:val="384A7C"/>
          <w:spacing w:val="2"/>
          <w:sz w:val="20"/>
          <w:szCs w:val="20"/>
        </w:rPr>
        <w:t>The Community-Based Violence Prevention Program</w:t>
      </w:r>
      <w:r w:rsidRPr="000A6573">
        <w:rPr>
          <w:rFonts w:ascii="Calibri" w:hAnsi="Calibri" w:cs="Times New Roman"/>
          <w:color w:val="384A7C"/>
          <w:spacing w:val="2"/>
          <w:sz w:val="20"/>
          <w:szCs w:val="20"/>
        </w:rPr>
        <w:t xml:space="preserve"> </w:t>
      </w:r>
      <w:r w:rsidRPr="00536F63">
        <w:rPr>
          <w:rFonts w:ascii="Calibri" w:hAnsi="Calibri" w:cs="Times New Roman"/>
          <w:color w:val="000000" w:themeColor="text1"/>
          <w:spacing w:val="2"/>
          <w:sz w:val="20"/>
          <w:szCs w:val="20"/>
        </w:rPr>
        <w:t>cities reported reductions in gun violence, increases in community engagement, and substantial impacts on community norms regarding gun violence. In one example, the average monthly shooting rates in Crown Heights (Brooklyn, NY) decreased by 6 percent, while shootings increased b</w:t>
      </w:r>
      <w:r>
        <w:rPr>
          <w:rFonts w:ascii="Calibri" w:hAnsi="Calibri" w:cs="Times New Roman"/>
          <w:color w:val="000000" w:themeColor="text1"/>
          <w:spacing w:val="2"/>
          <w:sz w:val="20"/>
          <w:szCs w:val="20"/>
        </w:rPr>
        <w:t xml:space="preserve">y </w:t>
      </w:r>
      <w:r w:rsidRPr="00536F63">
        <w:rPr>
          <w:rFonts w:ascii="Calibri" w:hAnsi="Calibri" w:cs="Times New Roman"/>
          <w:color w:val="000000" w:themeColor="text1"/>
          <w:spacing w:val="2"/>
          <w:sz w:val="20"/>
          <w:szCs w:val="20"/>
        </w:rPr>
        <w:t xml:space="preserve">18 percent </w:t>
      </w:r>
      <w:r>
        <w:rPr>
          <w:rFonts w:ascii="Calibri" w:hAnsi="Calibri" w:cs="Times New Roman"/>
          <w:color w:val="000000" w:themeColor="text1"/>
          <w:spacing w:val="2"/>
          <w:sz w:val="20"/>
          <w:szCs w:val="20"/>
        </w:rPr>
        <w:t xml:space="preserve">to </w:t>
      </w:r>
      <w:r w:rsidRPr="00536F63">
        <w:rPr>
          <w:rFonts w:ascii="Calibri" w:hAnsi="Calibri" w:cs="Times New Roman"/>
          <w:color w:val="000000" w:themeColor="text1"/>
          <w:spacing w:val="2"/>
          <w:sz w:val="20"/>
          <w:szCs w:val="20"/>
        </w:rPr>
        <w:t>28 percent in three comparison neighborhoods. In Baltimore</w:t>
      </w:r>
      <w:r>
        <w:rPr>
          <w:rFonts w:ascii="Calibri" w:hAnsi="Calibri" w:cs="Times New Roman"/>
          <w:color w:val="000000" w:themeColor="text1"/>
          <w:spacing w:val="2"/>
          <w:sz w:val="20"/>
          <w:szCs w:val="20"/>
        </w:rPr>
        <w:t>,</w:t>
      </w:r>
      <w:r w:rsidRPr="00536F63">
        <w:rPr>
          <w:rFonts w:ascii="Calibri" w:hAnsi="Calibri" w:cs="Times New Roman"/>
          <w:color w:val="000000" w:themeColor="text1"/>
          <w:spacing w:val="2"/>
          <w:sz w:val="20"/>
          <w:szCs w:val="20"/>
        </w:rPr>
        <w:t xml:space="preserve"> </w:t>
      </w:r>
      <w:r>
        <w:rPr>
          <w:rFonts w:ascii="Calibri" w:hAnsi="Calibri" w:cs="Times New Roman"/>
          <w:color w:val="000000" w:themeColor="text1"/>
          <w:spacing w:val="2"/>
          <w:sz w:val="20"/>
          <w:szCs w:val="20"/>
        </w:rPr>
        <w:t xml:space="preserve">from </w:t>
      </w:r>
      <w:r w:rsidRPr="00536F63">
        <w:rPr>
          <w:rFonts w:ascii="Calibri" w:hAnsi="Calibri" w:cs="Times New Roman"/>
          <w:color w:val="000000" w:themeColor="text1"/>
          <w:spacing w:val="2"/>
          <w:sz w:val="20"/>
          <w:szCs w:val="20"/>
        </w:rPr>
        <w:t xml:space="preserve">July </w:t>
      </w:r>
      <w:r>
        <w:rPr>
          <w:rFonts w:ascii="Calibri" w:hAnsi="Calibri" w:cs="Times New Roman"/>
          <w:color w:val="000000" w:themeColor="text1"/>
          <w:spacing w:val="2"/>
          <w:sz w:val="20"/>
          <w:szCs w:val="20"/>
        </w:rPr>
        <w:t xml:space="preserve">to </w:t>
      </w:r>
      <w:r w:rsidRPr="00536F63">
        <w:rPr>
          <w:rFonts w:ascii="Calibri" w:hAnsi="Calibri" w:cs="Times New Roman"/>
          <w:color w:val="000000" w:themeColor="text1"/>
          <w:spacing w:val="2"/>
          <w:sz w:val="20"/>
          <w:szCs w:val="20"/>
        </w:rPr>
        <w:t xml:space="preserve">December 2014, there were </w:t>
      </w:r>
      <w:r>
        <w:rPr>
          <w:rFonts w:ascii="Calibri" w:hAnsi="Calibri" w:cs="Times New Roman"/>
          <w:color w:val="000000" w:themeColor="text1"/>
          <w:spacing w:val="2"/>
          <w:sz w:val="20"/>
          <w:szCs w:val="20"/>
        </w:rPr>
        <w:t xml:space="preserve">5 </w:t>
      </w:r>
      <w:r w:rsidRPr="00536F63">
        <w:rPr>
          <w:rFonts w:ascii="Calibri" w:hAnsi="Calibri" w:cs="Times New Roman"/>
          <w:color w:val="000000" w:themeColor="text1"/>
          <w:spacing w:val="2"/>
          <w:sz w:val="20"/>
          <w:szCs w:val="20"/>
        </w:rPr>
        <w:t>shooting incidents—a 50 percent decrease from the same period during the previous year. Other outcomes include 41 instances of mediated conflicts that likely would have resulted in violence.</w:t>
      </w:r>
    </w:p>
    <w:p w:rsidR="00FA502B" w:rsidRPr="00BF1737" w:rsidRDefault="00FA502B" w:rsidP="00536F63">
      <w:pPr>
        <w:spacing w:after="120" w:line="240" w:lineRule="auto"/>
        <w:ind w:left="432" w:right="576"/>
        <w:rPr>
          <w:rFonts w:ascii="Times" w:hAnsi="Times"/>
          <w:color w:val="000000" w:themeColor="text1"/>
          <w:sz w:val="20"/>
          <w:szCs w:val="20"/>
        </w:rPr>
      </w:pPr>
    </w:p>
    <w:p w:rsidR="00300F4F" w:rsidRPr="00ED7A40" w:rsidRDefault="00300F4F" w:rsidP="00300F4F">
      <w:pPr>
        <w:autoSpaceDE w:val="0"/>
        <w:autoSpaceDN w:val="0"/>
        <w:adjustRightInd w:val="0"/>
        <w:spacing w:after="120" w:line="240" w:lineRule="auto"/>
        <w:ind w:left="432" w:right="576"/>
        <w:rPr>
          <w:rFonts w:ascii="Calibri" w:hAnsi="Calibri" w:cs="Times New Roman"/>
          <w:color w:val="384A7C"/>
          <w:sz w:val="20"/>
          <w:szCs w:val="20"/>
        </w:rPr>
      </w:pPr>
      <w:r w:rsidRPr="000A6573">
        <w:rPr>
          <w:rFonts w:ascii="Calibri" w:hAnsi="Calibri" w:cs="Times New Roman"/>
          <w:b/>
          <w:color w:val="384A7C"/>
          <w:spacing w:val="-2"/>
          <w:sz w:val="20"/>
          <w:szCs w:val="20"/>
        </w:rPr>
        <w:t>The Defending Childhood initiative</w:t>
      </w:r>
      <w:r w:rsidRPr="000A6573">
        <w:rPr>
          <w:rFonts w:ascii="Calibri" w:hAnsi="Calibri" w:cs="Times New Roman"/>
          <w:color w:val="384A7C"/>
          <w:sz w:val="20"/>
          <w:szCs w:val="20"/>
        </w:rPr>
        <w:t xml:space="preserve"> </w:t>
      </w:r>
      <w:r w:rsidRPr="00536F63">
        <w:rPr>
          <w:rFonts w:ascii="Calibri" w:hAnsi="Calibri" w:cs="Times New Roman"/>
          <w:color w:val="000000" w:themeColor="text1"/>
          <w:sz w:val="20"/>
          <w:szCs w:val="20"/>
        </w:rPr>
        <w:t>grantees used innovative approaches with local practitioners and community members to define the nature of children’s exposure to violence locally and to tailor solutions accordingly.  Agencies successfully developed innovative treatment, prevention and intervention strategies</w:t>
      </w:r>
      <w:r>
        <w:rPr>
          <w:rFonts w:ascii="Calibri" w:hAnsi="Calibri" w:cs="Times New Roman"/>
          <w:color w:val="000000" w:themeColor="text1"/>
          <w:sz w:val="20"/>
          <w:szCs w:val="20"/>
        </w:rPr>
        <w:t>;</w:t>
      </w:r>
      <w:r w:rsidRPr="00536F63">
        <w:rPr>
          <w:rFonts w:ascii="Calibri" w:hAnsi="Calibri" w:cs="Times New Roman"/>
          <w:color w:val="000000" w:themeColor="text1"/>
          <w:sz w:val="20"/>
          <w:szCs w:val="20"/>
        </w:rPr>
        <w:t xml:space="preserve"> updated procedural manuals and protocols</w:t>
      </w:r>
      <w:r>
        <w:rPr>
          <w:rFonts w:ascii="Calibri" w:hAnsi="Calibri" w:cs="Times New Roman"/>
          <w:color w:val="000000" w:themeColor="text1"/>
          <w:sz w:val="20"/>
          <w:szCs w:val="20"/>
        </w:rPr>
        <w:t>;</w:t>
      </w:r>
      <w:r w:rsidRPr="00536F63">
        <w:rPr>
          <w:rFonts w:ascii="Calibri" w:hAnsi="Calibri" w:cs="Times New Roman"/>
          <w:color w:val="000000" w:themeColor="text1"/>
          <w:sz w:val="20"/>
          <w:szCs w:val="20"/>
        </w:rPr>
        <w:t xml:space="preserve"> and supported training to help workers recognize the impact of childhood exposure to violence. In addition</w:t>
      </w:r>
      <w:r>
        <w:rPr>
          <w:rFonts w:ascii="Calibri" w:hAnsi="Calibri" w:cs="Times New Roman"/>
          <w:color w:val="000000" w:themeColor="text1"/>
          <w:sz w:val="20"/>
          <w:szCs w:val="20"/>
        </w:rPr>
        <w:t>,</w:t>
      </w:r>
      <w:r w:rsidRPr="00536F63">
        <w:rPr>
          <w:rFonts w:ascii="Calibri" w:hAnsi="Calibri" w:cs="Times New Roman"/>
          <w:color w:val="000000" w:themeColor="text1"/>
          <w:sz w:val="20"/>
          <w:szCs w:val="20"/>
        </w:rPr>
        <w:t xml:space="preserve"> the initiative has built local capacity by supporting more than 600 professional trainings, 723 community awareness/education events, and 538 publications and advertisements (October 2011 through September 2014</w:t>
      </w:r>
      <w:r w:rsidRPr="00ED7A40">
        <w:rPr>
          <w:rFonts w:ascii="Calibri" w:hAnsi="Calibri" w:cs="Times New Roman"/>
          <w:color w:val="000000" w:themeColor="text1"/>
          <w:sz w:val="20"/>
          <w:szCs w:val="20"/>
        </w:rPr>
        <w:t xml:space="preserve">*).  For more information on Defending Childhood, visit </w:t>
      </w:r>
      <w:hyperlink r:id="rId15" w:history="1">
        <w:r w:rsidRPr="00ED7A40">
          <w:rPr>
            <w:rStyle w:val="Hyperlink"/>
            <w:rFonts w:ascii="Calibri" w:hAnsi="Calibri" w:cs="Times New Roman"/>
            <w:color w:val="384A7C"/>
            <w:sz w:val="20"/>
            <w:szCs w:val="20"/>
          </w:rPr>
          <w:t>http://www.defendingchildhood.org</w:t>
        </w:r>
      </w:hyperlink>
      <w:r w:rsidRPr="00ED7A40">
        <w:rPr>
          <w:rFonts w:ascii="Calibri" w:hAnsi="Calibri" w:cs="Times New Roman"/>
          <w:color w:val="384A7C"/>
          <w:sz w:val="20"/>
          <w:szCs w:val="20"/>
        </w:rPr>
        <w:t xml:space="preserve">.   </w:t>
      </w:r>
    </w:p>
    <w:p w:rsidR="006D6155" w:rsidRPr="006D6155" w:rsidRDefault="0041229A" w:rsidP="006D6155">
      <w:pPr>
        <w:autoSpaceDE w:val="0"/>
        <w:autoSpaceDN w:val="0"/>
        <w:adjustRightInd w:val="0"/>
        <w:spacing w:after="0" w:line="240" w:lineRule="auto"/>
        <w:ind w:left="432"/>
        <w:rPr>
          <w:rFonts w:ascii="Calibri" w:hAnsi="Calibri" w:cs="Times New Roman"/>
          <w:color w:val="000000" w:themeColor="text1"/>
          <w:sz w:val="18"/>
          <w:szCs w:val="18"/>
        </w:rPr>
      </w:pPr>
      <w:r>
        <w:rPr>
          <w:rFonts w:ascii="Calibri" w:hAnsi="Calibri" w:cs="Times New Roman"/>
          <w:color w:val="000000" w:themeColor="text1"/>
          <w:sz w:val="18"/>
          <w:szCs w:val="18"/>
        </w:rPr>
        <w:t>*</w:t>
      </w:r>
      <w:r w:rsidR="006D6155" w:rsidRPr="00A615EE">
        <w:rPr>
          <w:rFonts w:ascii="Calibri" w:hAnsi="Calibri" w:cs="Times New Roman"/>
          <w:color w:val="000000" w:themeColor="text1"/>
          <w:sz w:val="18"/>
          <w:szCs w:val="18"/>
        </w:rPr>
        <w:t xml:space="preserve"> </w:t>
      </w:r>
      <w:r w:rsidR="006D6155">
        <w:rPr>
          <w:rFonts w:ascii="Calibri" w:hAnsi="Calibri" w:cs="Times New Roman"/>
          <w:color w:val="000000" w:themeColor="text1"/>
          <w:sz w:val="18"/>
          <w:szCs w:val="18"/>
        </w:rPr>
        <w:t>N</w:t>
      </w:r>
      <w:r w:rsidR="006D6155" w:rsidRPr="00A615EE">
        <w:rPr>
          <w:rFonts w:ascii="Calibri" w:hAnsi="Calibri" w:cs="Times New Roman"/>
          <w:color w:val="000000" w:themeColor="text1"/>
          <w:sz w:val="18"/>
          <w:szCs w:val="18"/>
        </w:rPr>
        <w:t>umbers are based on six sites that</w:t>
      </w:r>
      <w:r w:rsidR="006D6155">
        <w:rPr>
          <w:rFonts w:ascii="Calibri" w:hAnsi="Calibri" w:cs="Times New Roman"/>
          <w:color w:val="000000" w:themeColor="text1"/>
          <w:sz w:val="18"/>
          <w:szCs w:val="18"/>
        </w:rPr>
        <w:t xml:space="preserve"> </w:t>
      </w:r>
      <w:r w:rsidR="006D6155" w:rsidRPr="00A615EE">
        <w:rPr>
          <w:rFonts w:ascii="Calibri" w:hAnsi="Calibri" w:cs="Times New Roman"/>
          <w:color w:val="000000" w:themeColor="text1"/>
          <w:sz w:val="18"/>
          <w:szCs w:val="18"/>
        </w:rPr>
        <w:t>participated in the evaluation by the Center for Court Innovation.</w:t>
      </w:r>
    </w:p>
    <w:p w:rsidR="008F2B5B" w:rsidRPr="008F2B5B" w:rsidRDefault="008F2B5B" w:rsidP="008F2B5B">
      <w:pPr>
        <w:autoSpaceDE w:val="0"/>
        <w:autoSpaceDN w:val="0"/>
        <w:adjustRightInd w:val="0"/>
        <w:spacing w:after="0" w:line="240" w:lineRule="auto"/>
        <w:rPr>
          <w:color w:val="548DD4" w:themeColor="text2" w:themeTint="99"/>
        </w:rPr>
      </w:pPr>
    </w:p>
    <w:sectPr w:rsidR="008F2B5B" w:rsidRPr="008F2B5B" w:rsidSect="00B8591C">
      <w:headerReference w:type="first" r:id="rId16"/>
      <w:pgSz w:w="12240" w:h="15840"/>
      <w:pgMar w:top="1080" w:right="720" w:bottom="720" w:left="720" w:header="0" w:footer="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DC" w:rsidRDefault="00FD0CDC" w:rsidP="00D82E30">
      <w:pPr>
        <w:spacing w:after="0" w:line="240" w:lineRule="auto"/>
      </w:pPr>
      <w:r>
        <w:separator/>
      </w:r>
    </w:p>
  </w:endnote>
  <w:endnote w:type="continuationSeparator" w:id="0">
    <w:p w:rsidR="00FD0CDC" w:rsidRDefault="00FD0CDC" w:rsidP="00D8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DC" w:rsidRDefault="00FD0CDC" w:rsidP="00D82E30">
      <w:pPr>
        <w:spacing w:after="0" w:line="240" w:lineRule="auto"/>
      </w:pPr>
      <w:r>
        <w:separator/>
      </w:r>
    </w:p>
  </w:footnote>
  <w:footnote w:type="continuationSeparator" w:id="0">
    <w:p w:rsidR="00FD0CDC" w:rsidRDefault="00FD0CDC" w:rsidP="00D82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562" w:rsidRDefault="00B36324">
    <w:pPr>
      <w:pStyle w:val="Header"/>
    </w:pPr>
    <w:r>
      <w:rPr>
        <w:noProof/>
      </w:rPr>
      <mc:AlternateContent>
        <mc:Choice Requires="wps">
          <w:drawing>
            <wp:anchor distT="0" distB="0" distL="114300" distR="114300" simplePos="0" relativeHeight="251663360" behindDoc="0" locked="0" layoutInCell="1" allowOverlap="1" wp14:anchorId="55B85F91" wp14:editId="1D373364">
              <wp:simplePos x="0" y="0"/>
              <wp:positionH relativeFrom="margin">
                <wp:posOffset>19050</wp:posOffset>
              </wp:positionH>
              <wp:positionV relativeFrom="paragraph">
                <wp:posOffset>1200150</wp:posOffset>
              </wp:positionV>
              <wp:extent cx="6905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905625" cy="0"/>
                      </a:xfrm>
                      <a:prstGeom prst="line">
                        <a:avLst/>
                      </a:prstGeom>
                      <a:ln w="9525">
                        <a:solidFill>
                          <a:srgbClr val="384A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94.5pt" to="545.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" strokecolor="#384a7c">
              <w10:wrap anchorx="margin"/>
            </v:line>
          </w:pict>
        </mc:Fallback>
      </mc:AlternateContent>
    </w:r>
    <w:r w:rsidR="00E91BF2">
      <w:rPr>
        <w:noProof/>
      </w:rPr>
      <mc:AlternateContent>
        <mc:Choice Requires="wps">
          <w:drawing>
            <wp:anchor distT="0" distB="0" distL="114300" distR="114300" simplePos="0" relativeHeight="251661312" behindDoc="0" locked="0" layoutInCell="1" allowOverlap="1" wp14:anchorId="12706A9A" wp14:editId="7DB64D17">
              <wp:simplePos x="0" y="0"/>
              <wp:positionH relativeFrom="margin">
                <wp:posOffset>19050</wp:posOffset>
              </wp:positionH>
              <wp:positionV relativeFrom="paragraph">
                <wp:posOffset>1133475</wp:posOffset>
              </wp:positionV>
              <wp:extent cx="6905625" cy="0"/>
              <wp:effectExtent l="0" t="19050" r="9525" b="38100"/>
              <wp:wrapNone/>
              <wp:docPr id="9" name="Straight Connector 9"/>
              <wp:cNvGraphicFramePr/>
              <a:graphic xmlns:a="http://schemas.openxmlformats.org/drawingml/2006/main">
                <a:graphicData uri="http://schemas.microsoft.com/office/word/2010/wordprocessingShape">
                  <wps:wsp>
                    <wps:cNvCnPr/>
                    <wps:spPr>
                      <a:xfrm>
                        <a:off x="0" y="0"/>
                        <a:ext cx="6905625" cy="0"/>
                      </a:xfrm>
                      <a:prstGeom prst="line">
                        <a:avLst/>
                      </a:prstGeom>
                      <a:ln w="63500">
                        <a:solidFill>
                          <a:srgbClr val="384A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5pt,89.25pt" to="545.2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" strokecolor="#384a7c" strokeweight="5pt">
              <w10:wrap anchorx="margin"/>
            </v:line>
          </w:pict>
        </mc:Fallback>
      </mc:AlternateContent>
    </w:r>
    <w:r w:rsidR="00E01A62">
      <w:rPr>
        <w:noProof/>
      </w:rPr>
      <w:drawing>
        <wp:anchor distT="0" distB="182880" distL="114300" distR="114300" simplePos="0" relativeHeight="251660288" behindDoc="0" locked="0" layoutInCell="1" allowOverlap="1" wp14:anchorId="2BCF1B7F" wp14:editId="7D236087">
          <wp:simplePos x="0" y="0"/>
          <wp:positionH relativeFrom="margin">
            <wp:posOffset>6062345</wp:posOffset>
          </wp:positionH>
          <wp:positionV relativeFrom="paragraph">
            <wp:posOffset>161925</wp:posOffset>
          </wp:positionV>
          <wp:extent cx="870585" cy="904240"/>
          <wp:effectExtent l="0" t="0" r="571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JP-seal.jpg"/>
                  <pic:cNvPicPr/>
                </pic:nvPicPr>
                <pic:blipFill>
                  <a:blip r:embed="rId1">
                    <a:extLst>
                      <a:ext uri="{28A0092B-C50C-407E-A947-70E740481C1C}">
                        <a14:useLocalDpi xmlns:a14="http://schemas.microsoft.com/office/drawing/2010/main" val="0"/>
                      </a:ext>
                    </a:extLst>
                  </a:blip>
                  <a:stretch>
                    <a:fillRect/>
                  </a:stretch>
                </pic:blipFill>
                <pic:spPr>
                  <a:xfrm>
                    <a:off x="0" y="0"/>
                    <a:ext cx="870585" cy="904240"/>
                  </a:xfrm>
                  <a:prstGeom prst="rect">
                    <a:avLst/>
                  </a:prstGeom>
                </pic:spPr>
              </pic:pic>
            </a:graphicData>
          </a:graphic>
          <wp14:sizeRelH relativeFrom="margin">
            <wp14:pctWidth>0</wp14:pctWidth>
          </wp14:sizeRelH>
          <wp14:sizeRelV relativeFrom="margin">
            <wp14:pctHeight>0</wp14:pctHeight>
          </wp14:sizeRelV>
        </wp:anchor>
      </w:drawing>
    </w:r>
    <w:r w:rsidR="00435C1B">
      <w:rPr>
        <w:noProof/>
      </w:rPr>
      <mc:AlternateContent>
        <mc:Choice Requires="wps">
          <w:drawing>
            <wp:anchor distT="45720" distB="45720" distL="114300" distR="114300" simplePos="0" relativeHeight="251659264" behindDoc="0" locked="0" layoutInCell="1" allowOverlap="1" wp14:anchorId="323678D4" wp14:editId="513B0CDC">
              <wp:simplePos x="0" y="0"/>
              <wp:positionH relativeFrom="margin">
                <wp:posOffset>-38735</wp:posOffset>
              </wp:positionH>
              <wp:positionV relativeFrom="paragraph">
                <wp:posOffset>234950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C5C09" w:rsidRPr="00635543" w:rsidRDefault="00EC5C09" w:rsidP="00EC5C09">
                          <w:pPr>
                            <w:spacing w:after="120"/>
                            <w:rPr>
                              <w:rFonts w:ascii="Times New Roman" w:hAnsi="Times New Roman" w:cs="Times New Roman"/>
                              <w:b/>
                              <w:color w:val="384A7C"/>
                              <w:sz w:val="18"/>
                              <w:szCs w:val="18"/>
                            </w:rPr>
                          </w:pPr>
                          <w:r w:rsidRPr="00635543">
                            <w:rPr>
                              <w:rFonts w:ascii="Times New Roman" w:hAnsi="Times New Roman" w:cs="Times New Roman"/>
                              <w:b/>
                              <w:color w:val="384A7C"/>
                              <w:sz w:val="18"/>
                              <w:szCs w:val="18"/>
                            </w:rPr>
                            <w:t>U.S. Department of Justice</w:t>
                          </w:r>
                        </w:p>
                        <w:p w:rsidR="00EC5C09" w:rsidRPr="00635543" w:rsidRDefault="00EC5C09" w:rsidP="00EC5C09">
                          <w:pPr>
                            <w:spacing w:after="120"/>
                            <w:rPr>
                              <w:rFonts w:ascii="Times New Roman" w:hAnsi="Times New Roman" w:cs="Times New Roman"/>
                              <w:color w:val="384A7C"/>
                              <w:sz w:val="18"/>
                              <w:szCs w:val="18"/>
                            </w:rPr>
                          </w:pPr>
                          <w:r w:rsidRPr="00635543">
                            <w:rPr>
                              <w:rFonts w:ascii="Times New Roman" w:hAnsi="Times New Roman" w:cs="Times New Roman"/>
                              <w:color w:val="384A7C"/>
                              <w:sz w:val="18"/>
                              <w:szCs w:val="18"/>
                            </w:rPr>
                            <w:t>Office of Justice Programs</w:t>
                          </w:r>
                        </w:p>
                        <w:p w:rsidR="00EC5C09" w:rsidRPr="00635543" w:rsidRDefault="00EC5C09" w:rsidP="00EC5C09">
                          <w:pPr>
                            <w:spacing w:after="120"/>
                            <w:rPr>
                              <w:rFonts w:ascii="Times New Roman" w:hAnsi="Times New Roman" w:cs="Times New Roman"/>
                              <w:i/>
                              <w:color w:val="384A7C"/>
                              <w:sz w:val="18"/>
                              <w:szCs w:val="18"/>
                            </w:rPr>
                          </w:pPr>
                          <w:r w:rsidRPr="00635543">
                            <w:rPr>
                              <w:rFonts w:ascii="Times New Roman" w:hAnsi="Times New Roman" w:cs="Times New Roman"/>
                              <w:i/>
                              <w:color w:val="384A7C"/>
                              <w:sz w:val="18"/>
                              <w:szCs w:val="18"/>
                            </w:rPr>
                            <w:t>Office of Juvenile Justice and Delinquency Prevention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323678D4" id="_x0000_t202" coordsize="21600,21600" o:spt="202" path="m,l,21600r21600,l21600,xe">
              <v:stroke joinstyle="miter"/>
              <v:path gradientshapeok="t" o:connecttype="rect"/>
            </v:shapetype>
            <v:shape id="Text Box 2" o:spid="_x0000_s1026" type="#_x0000_t202" style="position:absolute;margin-left:-3.05pt;margin-top:18.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" filled="f" stroked="f">
              <v:textbox style="mso-fit-shape-to-text:t">
                <w:txbxContent>
                  <w:p w:rsidR="00EC5C09" w:rsidRPr="00635543" w:rsidRDefault="00EC5C09" w:rsidP="00EC5C09">
                    <w:pPr>
                      <w:spacing w:after="120"/>
                      <w:rPr>
                        <w:rFonts w:ascii="Times New Roman" w:hAnsi="Times New Roman" w:cs="Times New Roman"/>
                        <w:b/>
                        <w:color w:val="384A7C"/>
                        <w:sz w:val="18"/>
                        <w:szCs w:val="18"/>
                      </w:rPr>
                    </w:pPr>
                    <w:r w:rsidRPr="00635543">
                      <w:rPr>
                        <w:rFonts w:ascii="Times New Roman" w:hAnsi="Times New Roman" w:cs="Times New Roman"/>
                        <w:b/>
                        <w:color w:val="384A7C"/>
                        <w:sz w:val="18"/>
                        <w:szCs w:val="18"/>
                      </w:rPr>
                      <w:t>U.S. Department of Justice</w:t>
                    </w:r>
                  </w:p>
                  <w:p w:rsidR="00EC5C09" w:rsidRPr="00635543" w:rsidRDefault="00EC5C09" w:rsidP="00EC5C09">
                    <w:pPr>
                      <w:spacing w:after="120"/>
                      <w:rPr>
                        <w:rFonts w:ascii="Times New Roman" w:hAnsi="Times New Roman" w:cs="Times New Roman"/>
                        <w:color w:val="384A7C"/>
                        <w:sz w:val="18"/>
                        <w:szCs w:val="18"/>
                      </w:rPr>
                    </w:pPr>
                    <w:r w:rsidRPr="00635543">
                      <w:rPr>
                        <w:rFonts w:ascii="Times New Roman" w:hAnsi="Times New Roman" w:cs="Times New Roman"/>
                        <w:color w:val="384A7C"/>
                        <w:sz w:val="18"/>
                        <w:szCs w:val="18"/>
                      </w:rPr>
                      <w:t>Office of Justice Programs</w:t>
                    </w:r>
                  </w:p>
                  <w:p w:rsidR="00EC5C09" w:rsidRPr="00635543" w:rsidRDefault="00EC5C09" w:rsidP="00EC5C09">
                    <w:pPr>
                      <w:spacing w:after="120"/>
                      <w:rPr>
                        <w:rFonts w:ascii="Times New Roman" w:hAnsi="Times New Roman" w:cs="Times New Roman"/>
                        <w:i/>
                        <w:color w:val="384A7C"/>
                        <w:sz w:val="18"/>
                        <w:szCs w:val="18"/>
                      </w:rPr>
                    </w:pPr>
                    <w:r w:rsidRPr="00635543">
                      <w:rPr>
                        <w:rFonts w:ascii="Times New Roman" w:hAnsi="Times New Roman" w:cs="Times New Roman"/>
                        <w:i/>
                        <w:color w:val="384A7C"/>
                        <w:sz w:val="18"/>
                        <w:szCs w:val="18"/>
                      </w:rPr>
                      <w:t>Office of Juvenile Justice and Delinquency Prevention</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B91"/>
    <w:multiLevelType w:val="hybridMultilevel"/>
    <w:tmpl w:val="FA82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37368"/>
    <w:multiLevelType w:val="hybridMultilevel"/>
    <w:tmpl w:val="7ABE501C"/>
    <w:lvl w:ilvl="0" w:tplc="A2205078">
      <w:start w:val="1"/>
      <w:numFmt w:val="bullet"/>
      <w:lvlText w:val=""/>
      <w:lvlJc w:val="left"/>
      <w:pPr>
        <w:ind w:left="864" w:hanging="360"/>
      </w:pPr>
      <w:rPr>
        <w:rFonts w:ascii="Symbol" w:hAnsi="Symbol" w:hint="default"/>
        <w:color w:val="548DD4" w:themeColor="text2" w:themeTint="99"/>
        <w:u w:color="0F243E" w:themeColor="text2" w:themeShade="8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2FEF2A30"/>
    <w:multiLevelType w:val="hybridMultilevel"/>
    <w:tmpl w:val="3E8622B4"/>
    <w:lvl w:ilvl="0" w:tplc="A2205078">
      <w:start w:val="1"/>
      <w:numFmt w:val="bullet"/>
      <w:lvlText w:val=""/>
      <w:lvlJc w:val="left"/>
      <w:pPr>
        <w:ind w:left="720" w:hanging="360"/>
      </w:pPr>
      <w:rPr>
        <w:rFonts w:ascii="Symbol" w:hAnsi="Symbol" w:hint="default"/>
        <w:color w:val="548DD4" w:themeColor="text2" w:themeTint="99"/>
        <w:u w:color="0F243E" w:themeColor="text2"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44CEF"/>
    <w:multiLevelType w:val="hybridMultilevel"/>
    <w:tmpl w:val="671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F1F8B"/>
    <w:multiLevelType w:val="hybridMultilevel"/>
    <w:tmpl w:val="B16C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83"/>
    <w:rsid w:val="000202FF"/>
    <w:rsid w:val="00023A58"/>
    <w:rsid w:val="00026B4D"/>
    <w:rsid w:val="00027BF8"/>
    <w:rsid w:val="00037142"/>
    <w:rsid w:val="0004659B"/>
    <w:rsid w:val="0004732F"/>
    <w:rsid w:val="00051009"/>
    <w:rsid w:val="00056767"/>
    <w:rsid w:val="000647A4"/>
    <w:rsid w:val="000A6573"/>
    <w:rsid w:val="000B1495"/>
    <w:rsid w:val="000D3741"/>
    <w:rsid w:val="000F58AC"/>
    <w:rsid w:val="00110D9C"/>
    <w:rsid w:val="001365C1"/>
    <w:rsid w:val="001404D5"/>
    <w:rsid w:val="00160402"/>
    <w:rsid w:val="001730C5"/>
    <w:rsid w:val="00181508"/>
    <w:rsid w:val="001959AC"/>
    <w:rsid w:val="001A3EC9"/>
    <w:rsid w:val="001A47EE"/>
    <w:rsid w:val="001B2F6C"/>
    <w:rsid w:val="001B3C87"/>
    <w:rsid w:val="001C4974"/>
    <w:rsid w:val="001E4C3A"/>
    <w:rsid w:val="001F0B8B"/>
    <w:rsid w:val="00203E15"/>
    <w:rsid w:val="00212BAC"/>
    <w:rsid w:val="0023004F"/>
    <w:rsid w:val="002369A1"/>
    <w:rsid w:val="00251E2E"/>
    <w:rsid w:val="00252C12"/>
    <w:rsid w:val="0025690D"/>
    <w:rsid w:val="0026043B"/>
    <w:rsid w:val="00267D11"/>
    <w:rsid w:val="002836C4"/>
    <w:rsid w:val="002A4DA1"/>
    <w:rsid w:val="002C69E5"/>
    <w:rsid w:val="002C6CED"/>
    <w:rsid w:val="002D26DB"/>
    <w:rsid w:val="002D551A"/>
    <w:rsid w:val="002D689D"/>
    <w:rsid w:val="002E6B01"/>
    <w:rsid w:val="00300F4F"/>
    <w:rsid w:val="0031424D"/>
    <w:rsid w:val="00377074"/>
    <w:rsid w:val="00377A81"/>
    <w:rsid w:val="003803BB"/>
    <w:rsid w:val="00387103"/>
    <w:rsid w:val="003B5D24"/>
    <w:rsid w:val="003C1F2E"/>
    <w:rsid w:val="003D0BB0"/>
    <w:rsid w:val="003D7977"/>
    <w:rsid w:val="003F69F9"/>
    <w:rsid w:val="0041229A"/>
    <w:rsid w:val="00435740"/>
    <w:rsid w:val="00435C1B"/>
    <w:rsid w:val="004525E5"/>
    <w:rsid w:val="00464CE5"/>
    <w:rsid w:val="00474C4B"/>
    <w:rsid w:val="004A69B0"/>
    <w:rsid w:val="004B69F4"/>
    <w:rsid w:val="004C4E56"/>
    <w:rsid w:val="004C6F02"/>
    <w:rsid w:val="004D48CC"/>
    <w:rsid w:val="004E7BF2"/>
    <w:rsid w:val="005000DC"/>
    <w:rsid w:val="005204B2"/>
    <w:rsid w:val="00536F63"/>
    <w:rsid w:val="00553329"/>
    <w:rsid w:val="00556B27"/>
    <w:rsid w:val="00561D08"/>
    <w:rsid w:val="005657DE"/>
    <w:rsid w:val="00566A48"/>
    <w:rsid w:val="005826E1"/>
    <w:rsid w:val="005831E2"/>
    <w:rsid w:val="00583A21"/>
    <w:rsid w:val="00586503"/>
    <w:rsid w:val="005C1FC3"/>
    <w:rsid w:val="0060017C"/>
    <w:rsid w:val="006046B7"/>
    <w:rsid w:val="00616A81"/>
    <w:rsid w:val="00635543"/>
    <w:rsid w:val="0064133F"/>
    <w:rsid w:val="00643291"/>
    <w:rsid w:val="00650983"/>
    <w:rsid w:val="00652138"/>
    <w:rsid w:val="00681294"/>
    <w:rsid w:val="006A4DD5"/>
    <w:rsid w:val="006A685E"/>
    <w:rsid w:val="006A7A62"/>
    <w:rsid w:val="006A7F93"/>
    <w:rsid w:val="006B045C"/>
    <w:rsid w:val="006B0488"/>
    <w:rsid w:val="006B5D7C"/>
    <w:rsid w:val="006B5F33"/>
    <w:rsid w:val="006C1644"/>
    <w:rsid w:val="006C3655"/>
    <w:rsid w:val="006C4ABF"/>
    <w:rsid w:val="006C7182"/>
    <w:rsid w:val="006D34DD"/>
    <w:rsid w:val="006D6155"/>
    <w:rsid w:val="006E46B0"/>
    <w:rsid w:val="006F0838"/>
    <w:rsid w:val="00703606"/>
    <w:rsid w:val="00712E8B"/>
    <w:rsid w:val="00720FC3"/>
    <w:rsid w:val="00724649"/>
    <w:rsid w:val="00762114"/>
    <w:rsid w:val="0076568D"/>
    <w:rsid w:val="007A2C03"/>
    <w:rsid w:val="007D11B0"/>
    <w:rsid w:val="00813B49"/>
    <w:rsid w:val="0082156C"/>
    <w:rsid w:val="008270C1"/>
    <w:rsid w:val="00830FB3"/>
    <w:rsid w:val="0083780F"/>
    <w:rsid w:val="00862BA3"/>
    <w:rsid w:val="00874A91"/>
    <w:rsid w:val="008768B1"/>
    <w:rsid w:val="00877931"/>
    <w:rsid w:val="00884801"/>
    <w:rsid w:val="00890672"/>
    <w:rsid w:val="008A0492"/>
    <w:rsid w:val="008A0D23"/>
    <w:rsid w:val="008A106E"/>
    <w:rsid w:val="008A1A31"/>
    <w:rsid w:val="008B0553"/>
    <w:rsid w:val="008B6A27"/>
    <w:rsid w:val="008C46AA"/>
    <w:rsid w:val="008E5B52"/>
    <w:rsid w:val="008F18A2"/>
    <w:rsid w:val="008F2B5B"/>
    <w:rsid w:val="008F799E"/>
    <w:rsid w:val="009043ED"/>
    <w:rsid w:val="00905234"/>
    <w:rsid w:val="00922B2A"/>
    <w:rsid w:val="0092467D"/>
    <w:rsid w:val="00934BEE"/>
    <w:rsid w:val="00943416"/>
    <w:rsid w:val="00944B60"/>
    <w:rsid w:val="009657FC"/>
    <w:rsid w:val="00965E49"/>
    <w:rsid w:val="00975F46"/>
    <w:rsid w:val="00977CFD"/>
    <w:rsid w:val="00980B20"/>
    <w:rsid w:val="00985739"/>
    <w:rsid w:val="009929E3"/>
    <w:rsid w:val="009A0057"/>
    <w:rsid w:val="009B7987"/>
    <w:rsid w:val="009C2BCF"/>
    <w:rsid w:val="009C30A1"/>
    <w:rsid w:val="009D7286"/>
    <w:rsid w:val="009F2D26"/>
    <w:rsid w:val="009F3D9F"/>
    <w:rsid w:val="009F5BF4"/>
    <w:rsid w:val="00A01DC4"/>
    <w:rsid w:val="00A02562"/>
    <w:rsid w:val="00A13005"/>
    <w:rsid w:val="00A207FE"/>
    <w:rsid w:val="00A32EEB"/>
    <w:rsid w:val="00A4366B"/>
    <w:rsid w:val="00A76D1F"/>
    <w:rsid w:val="00A909D7"/>
    <w:rsid w:val="00A9480D"/>
    <w:rsid w:val="00A97EEB"/>
    <w:rsid w:val="00AB11D2"/>
    <w:rsid w:val="00AB4B4D"/>
    <w:rsid w:val="00AF1254"/>
    <w:rsid w:val="00B01536"/>
    <w:rsid w:val="00B03550"/>
    <w:rsid w:val="00B04B5D"/>
    <w:rsid w:val="00B05590"/>
    <w:rsid w:val="00B11FEF"/>
    <w:rsid w:val="00B13856"/>
    <w:rsid w:val="00B16587"/>
    <w:rsid w:val="00B212D4"/>
    <w:rsid w:val="00B2320F"/>
    <w:rsid w:val="00B36324"/>
    <w:rsid w:val="00B3760E"/>
    <w:rsid w:val="00B419BC"/>
    <w:rsid w:val="00B44A34"/>
    <w:rsid w:val="00B47837"/>
    <w:rsid w:val="00B53B8E"/>
    <w:rsid w:val="00B6486E"/>
    <w:rsid w:val="00B81805"/>
    <w:rsid w:val="00B8591C"/>
    <w:rsid w:val="00B87488"/>
    <w:rsid w:val="00BA3845"/>
    <w:rsid w:val="00BA7C5B"/>
    <w:rsid w:val="00BC7D9A"/>
    <w:rsid w:val="00BD02A9"/>
    <w:rsid w:val="00BD3791"/>
    <w:rsid w:val="00BF1737"/>
    <w:rsid w:val="00C01DC0"/>
    <w:rsid w:val="00C05611"/>
    <w:rsid w:val="00C22C56"/>
    <w:rsid w:val="00C302ED"/>
    <w:rsid w:val="00C440F6"/>
    <w:rsid w:val="00C613DD"/>
    <w:rsid w:val="00C85768"/>
    <w:rsid w:val="00C86AED"/>
    <w:rsid w:val="00CA3428"/>
    <w:rsid w:val="00CA67D1"/>
    <w:rsid w:val="00CB68CF"/>
    <w:rsid w:val="00CC260E"/>
    <w:rsid w:val="00CC3BE3"/>
    <w:rsid w:val="00CE2176"/>
    <w:rsid w:val="00CF7F46"/>
    <w:rsid w:val="00D15B06"/>
    <w:rsid w:val="00D274D6"/>
    <w:rsid w:val="00D350A6"/>
    <w:rsid w:val="00D626AF"/>
    <w:rsid w:val="00D65C07"/>
    <w:rsid w:val="00D70C7B"/>
    <w:rsid w:val="00D82E30"/>
    <w:rsid w:val="00DC5C0A"/>
    <w:rsid w:val="00DD3A04"/>
    <w:rsid w:val="00DE309C"/>
    <w:rsid w:val="00DE37F9"/>
    <w:rsid w:val="00DF4B69"/>
    <w:rsid w:val="00DF4D96"/>
    <w:rsid w:val="00DF6079"/>
    <w:rsid w:val="00DF6525"/>
    <w:rsid w:val="00E00ECF"/>
    <w:rsid w:val="00E01A62"/>
    <w:rsid w:val="00E21211"/>
    <w:rsid w:val="00E33A8B"/>
    <w:rsid w:val="00E607BF"/>
    <w:rsid w:val="00E6205F"/>
    <w:rsid w:val="00E71D9E"/>
    <w:rsid w:val="00E77769"/>
    <w:rsid w:val="00E81C11"/>
    <w:rsid w:val="00E91BF2"/>
    <w:rsid w:val="00E92DF9"/>
    <w:rsid w:val="00E9512C"/>
    <w:rsid w:val="00EA1FAA"/>
    <w:rsid w:val="00EB0E6B"/>
    <w:rsid w:val="00EC5C09"/>
    <w:rsid w:val="00ED2C43"/>
    <w:rsid w:val="00ED754B"/>
    <w:rsid w:val="00F167EB"/>
    <w:rsid w:val="00F456CD"/>
    <w:rsid w:val="00F63161"/>
    <w:rsid w:val="00F6425E"/>
    <w:rsid w:val="00F66FA9"/>
    <w:rsid w:val="00F906FD"/>
    <w:rsid w:val="00F911C5"/>
    <w:rsid w:val="00F95FCE"/>
    <w:rsid w:val="00FA0E37"/>
    <w:rsid w:val="00FA502B"/>
    <w:rsid w:val="00FA7603"/>
    <w:rsid w:val="00FB0BA5"/>
    <w:rsid w:val="00FC18CC"/>
    <w:rsid w:val="00FC48BA"/>
    <w:rsid w:val="00FD0CDC"/>
    <w:rsid w:val="00FD197A"/>
    <w:rsid w:val="00FD5542"/>
    <w:rsid w:val="00FD5B5A"/>
    <w:rsid w:val="00FE7F33"/>
    <w:rsid w:val="00FF070E"/>
    <w:rsid w:val="00FF5523"/>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5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12"/>
    <w:pPr>
      <w:ind w:left="720"/>
      <w:contextualSpacing/>
    </w:pPr>
  </w:style>
  <w:style w:type="character" w:styleId="Hyperlink">
    <w:name w:val="Hyperlink"/>
    <w:basedOn w:val="DefaultParagraphFont"/>
    <w:uiPriority w:val="99"/>
    <w:unhideWhenUsed/>
    <w:rsid w:val="00023A58"/>
    <w:rPr>
      <w:color w:val="0000FF" w:themeColor="hyperlink"/>
      <w:u w:val="single"/>
    </w:rPr>
  </w:style>
  <w:style w:type="character" w:styleId="CommentReference">
    <w:name w:val="annotation reference"/>
    <w:basedOn w:val="DefaultParagraphFont"/>
    <w:uiPriority w:val="99"/>
    <w:semiHidden/>
    <w:unhideWhenUsed/>
    <w:rsid w:val="00A01DC4"/>
    <w:rPr>
      <w:sz w:val="16"/>
      <w:szCs w:val="16"/>
    </w:rPr>
  </w:style>
  <w:style w:type="paragraph" w:styleId="CommentText">
    <w:name w:val="annotation text"/>
    <w:basedOn w:val="Normal"/>
    <w:link w:val="CommentTextChar"/>
    <w:uiPriority w:val="99"/>
    <w:unhideWhenUsed/>
    <w:rsid w:val="00A01DC4"/>
    <w:pPr>
      <w:spacing w:line="240" w:lineRule="auto"/>
    </w:pPr>
    <w:rPr>
      <w:sz w:val="20"/>
      <w:szCs w:val="20"/>
    </w:rPr>
  </w:style>
  <w:style w:type="character" w:customStyle="1" w:styleId="CommentTextChar">
    <w:name w:val="Comment Text Char"/>
    <w:basedOn w:val="DefaultParagraphFont"/>
    <w:link w:val="CommentText"/>
    <w:uiPriority w:val="99"/>
    <w:rsid w:val="00A01DC4"/>
    <w:rPr>
      <w:sz w:val="20"/>
      <w:szCs w:val="20"/>
    </w:rPr>
  </w:style>
  <w:style w:type="paragraph" w:styleId="CommentSubject">
    <w:name w:val="annotation subject"/>
    <w:basedOn w:val="CommentText"/>
    <w:next w:val="CommentText"/>
    <w:link w:val="CommentSubjectChar"/>
    <w:uiPriority w:val="99"/>
    <w:semiHidden/>
    <w:unhideWhenUsed/>
    <w:rsid w:val="00A01DC4"/>
    <w:rPr>
      <w:b/>
      <w:bCs/>
    </w:rPr>
  </w:style>
  <w:style w:type="character" w:customStyle="1" w:styleId="CommentSubjectChar">
    <w:name w:val="Comment Subject Char"/>
    <w:basedOn w:val="CommentTextChar"/>
    <w:link w:val="CommentSubject"/>
    <w:uiPriority w:val="99"/>
    <w:semiHidden/>
    <w:rsid w:val="00A01DC4"/>
    <w:rPr>
      <w:b/>
      <w:bCs/>
      <w:sz w:val="20"/>
      <w:szCs w:val="20"/>
    </w:rPr>
  </w:style>
  <w:style w:type="paragraph" w:styleId="BalloonText">
    <w:name w:val="Balloon Text"/>
    <w:basedOn w:val="Normal"/>
    <w:link w:val="BalloonTextChar"/>
    <w:uiPriority w:val="99"/>
    <w:semiHidden/>
    <w:unhideWhenUsed/>
    <w:rsid w:val="00A01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DC4"/>
    <w:rPr>
      <w:rFonts w:ascii="Tahoma" w:hAnsi="Tahoma" w:cs="Tahoma"/>
      <w:sz w:val="16"/>
      <w:szCs w:val="16"/>
    </w:rPr>
  </w:style>
  <w:style w:type="paragraph" w:styleId="Revision">
    <w:name w:val="Revision"/>
    <w:hidden/>
    <w:uiPriority w:val="99"/>
    <w:semiHidden/>
    <w:rsid w:val="00F456CD"/>
    <w:pPr>
      <w:spacing w:after="0" w:line="240" w:lineRule="auto"/>
    </w:pPr>
  </w:style>
  <w:style w:type="character" w:styleId="FollowedHyperlink">
    <w:name w:val="FollowedHyperlink"/>
    <w:basedOn w:val="DefaultParagraphFont"/>
    <w:uiPriority w:val="99"/>
    <w:semiHidden/>
    <w:unhideWhenUsed/>
    <w:rsid w:val="00652138"/>
    <w:rPr>
      <w:color w:val="800080" w:themeColor="followedHyperlink"/>
      <w:u w:val="single"/>
    </w:rPr>
  </w:style>
  <w:style w:type="table" w:styleId="TableGrid">
    <w:name w:val="Table Grid"/>
    <w:basedOn w:val="TableNormal"/>
    <w:uiPriority w:val="59"/>
    <w:rsid w:val="00D1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659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8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E30"/>
  </w:style>
  <w:style w:type="paragraph" w:styleId="Footer">
    <w:name w:val="footer"/>
    <w:basedOn w:val="Normal"/>
    <w:link w:val="FooterChar"/>
    <w:uiPriority w:val="99"/>
    <w:unhideWhenUsed/>
    <w:rsid w:val="00D8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E30"/>
  </w:style>
  <w:style w:type="paragraph" w:styleId="FootnoteText">
    <w:name w:val="footnote text"/>
    <w:basedOn w:val="Normal"/>
    <w:link w:val="FootnoteTextChar"/>
    <w:uiPriority w:val="99"/>
    <w:semiHidden/>
    <w:unhideWhenUsed/>
    <w:rsid w:val="00E71D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D9E"/>
    <w:rPr>
      <w:sz w:val="20"/>
      <w:szCs w:val="20"/>
    </w:rPr>
  </w:style>
  <w:style w:type="character" w:styleId="FootnoteReference">
    <w:name w:val="footnote reference"/>
    <w:basedOn w:val="DefaultParagraphFont"/>
    <w:uiPriority w:val="99"/>
    <w:semiHidden/>
    <w:unhideWhenUsed/>
    <w:rsid w:val="00E71D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5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C12"/>
    <w:pPr>
      <w:ind w:left="720"/>
      <w:contextualSpacing/>
    </w:pPr>
  </w:style>
  <w:style w:type="character" w:styleId="Hyperlink">
    <w:name w:val="Hyperlink"/>
    <w:basedOn w:val="DefaultParagraphFont"/>
    <w:uiPriority w:val="99"/>
    <w:unhideWhenUsed/>
    <w:rsid w:val="00023A58"/>
    <w:rPr>
      <w:color w:val="0000FF" w:themeColor="hyperlink"/>
      <w:u w:val="single"/>
    </w:rPr>
  </w:style>
  <w:style w:type="character" w:styleId="CommentReference">
    <w:name w:val="annotation reference"/>
    <w:basedOn w:val="DefaultParagraphFont"/>
    <w:uiPriority w:val="99"/>
    <w:semiHidden/>
    <w:unhideWhenUsed/>
    <w:rsid w:val="00A01DC4"/>
    <w:rPr>
      <w:sz w:val="16"/>
      <w:szCs w:val="16"/>
    </w:rPr>
  </w:style>
  <w:style w:type="paragraph" w:styleId="CommentText">
    <w:name w:val="annotation text"/>
    <w:basedOn w:val="Normal"/>
    <w:link w:val="CommentTextChar"/>
    <w:uiPriority w:val="99"/>
    <w:unhideWhenUsed/>
    <w:rsid w:val="00A01DC4"/>
    <w:pPr>
      <w:spacing w:line="240" w:lineRule="auto"/>
    </w:pPr>
    <w:rPr>
      <w:sz w:val="20"/>
      <w:szCs w:val="20"/>
    </w:rPr>
  </w:style>
  <w:style w:type="character" w:customStyle="1" w:styleId="CommentTextChar">
    <w:name w:val="Comment Text Char"/>
    <w:basedOn w:val="DefaultParagraphFont"/>
    <w:link w:val="CommentText"/>
    <w:uiPriority w:val="99"/>
    <w:rsid w:val="00A01DC4"/>
    <w:rPr>
      <w:sz w:val="20"/>
      <w:szCs w:val="20"/>
    </w:rPr>
  </w:style>
  <w:style w:type="paragraph" w:styleId="CommentSubject">
    <w:name w:val="annotation subject"/>
    <w:basedOn w:val="CommentText"/>
    <w:next w:val="CommentText"/>
    <w:link w:val="CommentSubjectChar"/>
    <w:uiPriority w:val="99"/>
    <w:semiHidden/>
    <w:unhideWhenUsed/>
    <w:rsid w:val="00A01DC4"/>
    <w:rPr>
      <w:b/>
      <w:bCs/>
    </w:rPr>
  </w:style>
  <w:style w:type="character" w:customStyle="1" w:styleId="CommentSubjectChar">
    <w:name w:val="Comment Subject Char"/>
    <w:basedOn w:val="CommentTextChar"/>
    <w:link w:val="CommentSubject"/>
    <w:uiPriority w:val="99"/>
    <w:semiHidden/>
    <w:rsid w:val="00A01DC4"/>
    <w:rPr>
      <w:b/>
      <w:bCs/>
      <w:sz w:val="20"/>
      <w:szCs w:val="20"/>
    </w:rPr>
  </w:style>
  <w:style w:type="paragraph" w:styleId="BalloonText">
    <w:name w:val="Balloon Text"/>
    <w:basedOn w:val="Normal"/>
    <w:link w:val="BalloonTextChar"/>
    <w:uiPriority w:val="99"/>
    <w:semiHidden/>
    <w:unhideWhenUsed/>
    <w:rsid w:val="00A01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DC4"/>
    <w:rPr>
      <w:rFonts w:ascii="Tahoma" w:hAnsi="Tahoma" w:cs="Tahoma"/>
      <w:sz w:val="16"/>
      <w:szCs w:val="16"/>
    </w:rPr>
  </w:style>
  <w:style w:type="paragraph" w:styleId="Revision">
    <w:name w:val="Revision"/>
    <w:hidden/>
    <w:uiPriority w:val="99"/>
    <w:semiHidden/>
    <w:rsid w:val="00F456CD"/>
    <w:pPr>
      <w:spacing w:after="0" w:line="240" w:lineRule="auto"/>
    </w:pPr>
  </w:style>
  <w:style w:type="character" w:styleId="FollowedHyperlink">
    <w:name w:val="FollowedHyperlink"/>
    <w:basedOn w:val="DefaultParagraphFont"/>
    <w:uiPriority w:val="99"/>
    <w:semiHidden/>
    <w:unhideWhenUsed/>
    <w:rsid w:val="00652138"/>
    <w:rPr>
      <w:color w:val="800080" w:themeColor="followedHyperlink"/>
      <w:u w:val="single"/>
    </w:rPr>
  </w:style>
  <w:style w:type="table" w:styleId="TableGrid">
    <w:name w:val="Table Grid"/>
    <w:basedOn w:val="TableNormal"/>
    <w:uiPriority w:val="59"/>
    <w:rsid w:val="00D1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659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8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E30"/>
  </w:style>
  <w:style w:type="paragraph" w:styleId="Footer">
    <w:name w:val="footer"/>
    <w:basedOn w:val="Normal"/>
    <w:link w:val="FooterChar"/>
    <w:uiPriority w:val="99"/>
    <w:unhideWhenUsed/>
    <w:rsid w:val="00D8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E30"/>
  </w:style>
  <w:style w:type="paragraph" w:styleId="FootnoteText">
    <w:name w:val="footnote text"/>
    <w:basedOn w:val="Normal"/>
    <w:link w:val="FootnoteTextChar"/>
    <w:uiPriority w:val="99"/>
    <w:semiHidden/>
    <w:unhideWhenUsed/>
    <w:rsid w:val="00E71D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1D9E"/>
    <w:rPr>
      <w:sz w:val="20"/>
      <w:szCs w:val="20"/>
    </w:rPr>
  </w:style>
  <w:style w:type="character" w:styleId="FootnoteReference">
    <w:name w:val="footnote reference"/>
    <w:basedOn w:val="DefaultParagraphFont"/>
    <w:uiPriority w:val="99"/>
    <w:semiHidden/>
    <w:unhideWhenUsed/>
    <w:rsid w:val="00E71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0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ezi.com/gy8vvmv4j3zz/copy-of-shared-framework-reducing-youth-viol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4.jpg@01D087FE.F9780620" TargetMode="External"/><Relationship Id="rId5" Type="http://schemas.openxmlformats.org/officeDocument/2006/relationships/settings" Target="settings.xml"/><Relationship Id="rId15" Type="http://schemas.openxmlformats.org/officeDocument/2006/relationships/hyperlink" Target="http://www.defendingchildhood.org"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findyouthinfo.gov/youth-topics/preventing-youth-viol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762CF-99B3-4160-9054-88C43028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DSG</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 Zanjani</dc:creator>
  <cp:lastModifiedBy>Scottie Whiteley</cp:lastModifiedBy>
  <cp:revision>3</cp:revision>
  <cp:lastPrinted>2015-05-08T20:47:00Z</cp:lastPrinted>
  <dcterms:created xsi:type="dcterms:W3CDTF">2015-07-17T17:03:00Z</dcterms:created>
  <dcterms:modified xsi:type="dcterms:W3CDTF">2015-08-07T15:02:00Z</dcterms:modified>
</cp:coreProperties>
</file>